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FEF7A" w14:textId="77777777" w:rsidR="00413F7F" w:rsidRDefault="000466AD" w:rsidP="00413F7F">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Pr="00D90A50">
        <w:rPr>
          <w:rFonts w:ascii="Arial" w:hAnsi="Arial" w:cs="Arial"/>
          <w:b/>
          <w:bCs/>
        </w:rPr>
        <w:tab/>
      </w:r>
      <w:r w:rsidR="00413F7F" w:rsidRPr="00413F7F">
        <w:rPr>
          <w:rFonts w:ascii="Arial" w:hAnsi="Arial" w:cs="Arial"/>
          <w:b/>
          <w:bCs/>
        </w:rPr>
        <w:t xml:space="preserve">R1-1902767 </w:t>
      </w:r>
    </w:p>
    <w:p w14:paraId="2FE331D9" w14:textId="06D600F8" w:rsidR="000466AD" w:rsidRDefault="000466AD" w:rsidP="00413F7F">
      <w:pPr>
        <w:tabs>
          <w:tab w:val="center" w:pos="4536"/>
          <w:tab w:val="right" w:pos="8280"/>
          <w:tab w:val="right" w:pos="9639"/>
        </w:tabs>
        <w:ind w:right="2"/>
        <w:rPr>
          <w:rFonts w:ascii="Arial" w:eastAsia="MS Mincho" w:hAnsi="Arial" w:cs="Arial"/>
          <w:b/>
          <w:bCs/>
          <w:lang w:eastAsia="ja-JP"/>
        </w:rPr>
      </w:pPr>
      <w:bookmarkStart w:id="0" w:name="_GoBack"/>
      <w:bookmarkEnd w:id="0"/>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2.8.2</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05C727A4" w:rsidR="00E1707D" w:rsidRDefault="003D3C45" w:rsidP="00396685">
      <w:pPr>
        <w:pStyle w:val="3GPPHeader"/>
        <w:rPr>
          <w:sz w:val="22"/>
          <w:szCs w:val="22"/>
        </w:rPr>
      </w:pPr>
      <w:r w:rsidRPr="00315C6E">
        <w:rPr>
          <w:sz w:val="22"/>
          <w:szCs w:val="22"/>
        </w:rPr>
        <w:t>Title:</w:t>
      </w:r>
      <w:r w:rsidR="00E90E49" w:rsidRPr="00315C6E">
        <w:rPr>
          <w:sz w:val="22"/>
          <w:szCs w:val="22"/>
        </w:rPr>
        <w:tab/>
      </w:r>
      <w:r w:rsidR="00D92A34" w:rsidRPr="00D92A34">
        <w:rPr>
          <w:sz w:val="22"/>
          <w:szCs w:val="22"/>
        </w:rPr>
        <w:t>Cons</w:t>
      </w:r>
      <w:r w:rsidR="00E1707D">
        <w:rPr>
          <w:sz w:val="22"/>
          <w:szCs w:val="22"/>
        </w:rPr>
        <w:t>i</w:t>
      </w:r>
      <w:r w:rsidR="00D92A34" w:rsidRPr="00D92A34">
        <w:rPr>
          <w:sz w:val="22"/>
          <w:szCs w:val="22"/>
        </w:rPr>
        <w:t>deration</w:t>
      </w:r>
      <w:r w:rsidR="00E44683">
        <w:rPr>
          <w:sz w:val="22"/>
          <w:szCs w:val="22"/>
        </w:rPr>
        <w:t>s</w:t>
      </w:r>
      <w:r w:rsidR="00D92A34" w:rsidRPr="00D92A34">
        <w:rPr>
          <w:sz w:val="22"/>
          <w:szCs w:val="22"/>
        </w:rPr>
        <w:t xml:space="preserve"> on PDCCH design for NCJT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90F6F35"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A65CB5">
        <w:rPr>
          <w:rFonts w:eastAsia="MS Mincho"/>
          <w:sz w:val="22"/>
          <w:szCs w:val="22"/>
          <w:lang w:eastAsia="ja-JP"/>
        </w:rPr>
        <w:t>Non-Coherent Joint-Transmission (NCJ</w:t>
      </w:r>
      <w:r w:rsidR="00B80B08">
        <w:rPr>
          <w:rFonts w:eastAsia="MS Mincho"/>
          <w:sz w:val="22"/>
          <w:szCs w:val="22"/>
          <w:lang w:eastAsia="ja-JP"/>
        </w:rPr>
        <w:t>T</w:t>
      </w:r>
      <w:r w:rsidR="00A65CB5">
        <w:rPr>
          <w:rFonts w:eastAsia="MS Mincho"/>
          <w:sz w:val="22"/>
          <w:szCs w:val="22"/>
          <w:lang w:eastAsia="ja-JP"/>
        </w:rPr>
        <w:t>) is one of the design targets for multi-TRP/panel operation enhancement</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666ED8FC" w14:textId="285558CA" w:rsidR="001E788C" w:rsidRDefault="001E788C" w:rsidP="00B34FA1">
      <w:pPr>
        <w:rPr>
          <w:rFonts w:eastAsia="MS Mincho"/>
          <w:sz w:val="22"/>
          <w:szCs w:val="22"/>
          <w:lang w:eastAsia="ja-JP"/>
        </w:rPr>
      </w:pPr>
      <w:r>
        <w:rPr>
          <w:rFonts w:eastAsia="MS Mincho"/>
          <w:sz w:val="22"/>
          <w:szCs w:val="22"/>
          <w:lang w:eastAsia="ja-JP"/>
        </w:rPr>
        <w:t>NCJT transmission is beneficial, especially for the UEs in the overlapping coverage of two TRPs. With NCJT, UE can enjoy higher PDSCH reliability via multi-TRP diversity. More important</w:t>
      </w:r>
      <w:r w:rsidR="0003468E">
        <w:rPr>
          <w:rFonts w:eastAsia="MS Mincho"/>
          <w:sz w:val="22"/>
          <w:szCs w:val="22"/>
          <w:lang w:eastAsia="ja-JP"/>
        </w:rPr>
        <w:t>ly</w:t>
      </w:r>
      <w:r>
        <w:rPr>
          <w:rFonts w:eastAsia="MS Mincho"/>
          <w:sz w:val="22"/>
          <w:szCs w:val="22"/>
          <w:lang w:eastAsia="ja-JP"/>
        </w:rPr>
        <w:t>, NCJT also allows the UE to receive two PDSCH simultaneously,</w:t>
      </w:r>
      <w:r w:rsidR="005D6A95">
        <w:rPr>
          <w:rFonts w:eastAsia="MS Mincho"/>
          <w:sz w:val="22"/>
          <w:szCs w:val="22"/>
          <w:lang w:eastAsia="ja-JP"/>
        </w:rPr>
        <w:t xml:space="preserve"> with</w:t>
      </w:r>
      <w:r>
        <w:rPr>
          <w:rFonts w:eastAsia="MS Mincho"/>
          <w:sz w:val="22"/>
          <w:szCs w:val="22"/>
          <w:lang w:eastAsia="ja-JP"/>
        </w:rPr>
        <w:t xml:space="preserve"> each PDSCH independently from different TRP</w:t>
      </w:r>
      <w:r w:rsidR="003F1487">
        <w:rPr>
          <w:rFonts w:eastAsia="MS Mincho"/>
          <w:sz w:val="22"/>
          <w:szCs w:val="22"/>
          <w:lang w:eastAsia="ja-JP"/>
        </w:rPr>
        <w:t xml:space="preserve">. This operation is </w:t>
      </w:r>
      <w:r>
        <w:rPr>
          <w:rFonts w:eastAsia="MS Mincho"/>
          <w:sz w:val="22"/>
          <w:szCs w:val="22"/>
          <w:lang w:eastAsia="ja-JP"/>
        </w:rPr>
        <w:t>useful especially when single TRP cannot schedule enough number of layers to fully exploit the UE Rx capability.</w:t>
      </w:r>
      <w:r w:rsidR="00E67EB5">
        <w:rPr>
          <w:rFonts w:eastAsia="MS Mincho"/>
          <w:sz w:val="22"/>
          <w:szCs w:val="22"/>
          <w:lang w:eastAsia="ja-JP"/>
        </w:rPr>
        <w:t xml:space="preserve"> Similarly, UL NCJT allows the UE to either transmit two independen</w:t>
      </w:r>
      <w:r w:rsidR="00487AE0">
        <w:rPr>
          <w:rFonts w:eastAsia="MS Mincho"/>
          <w:sz w:val="22"/>
          <w:szCs w:val="22"/>
          <w:lang w:eastAsia="ja-JP"/>
        </w:rPr>
        <w:t>t PUSCH</w:t>
      </w:r>
      <w:r w:rsidR="004F651E">
        <w:rPr>
          <w:rFonts w:eastAsia="MS Mincho"/>
          <w:sz w:val="22"/>
          <w:szCs w:val="22"/>
          <w:lang w:eastAsia="ja-JP"/>
        </w:rPr>
        <w:t>s</w:t>
      </w:r>
      <w:r w:rsidR="00487AE0">
        <w:rPr>
          <w:rFonts w:eastAsia="MS Mincho"/>
          <w:sz w:val="22"/>
          <w:szCs w:val="22"/>
          <w:lang w:eastAsia="ja-JP"/>
        </w:rPr>
        <w:t xml:space="preserve"> to two </w:t>
      </w:r>
      <w:r w:rsidR="00487AE0">
        <w:rPr>
          <w:rFonts w:eastAsia="MS Mincho"/>
          <w:sz w:val="22"/>
          <w:szCs w:val="22"/>
          <w:lang w:eastAsia="ja-JP"/>
        </w:rPr>
        <w:lastRenderedPageBreak/>
        <w:t>TRP</w:t>
      </w:r>
      <w:r w:rsidR="004F651E">
        <w:rPr>
          <w:rFonts w:eastAsia="MS Mincho"/>
          <w:sz w:val="22"/>
          <w:szCs w:val="22"/>
          <w:lang w:eastAsia="ja-JP"/>
        </w:rPr>
        <w:t>s</w:t>
      </w:r>
      <w:r w:rsidR="00487AE0">
        <w:rPr>
          <w:rFonts w:eastAsia="MS Mincho"/>
          <w:sz w:val="22"/>
          <w:szCs w:val="22"/>
          <w:lang w:eastAsia="ja-JP"/>
        </w:rPr>
        <w:t xml:space="preserve"> in order to increase UE UL throughput, or selectively</w:t>
      </w:r>
      <w:r w:rsidR="00611556">
        <w:rPr>
          <w:rFonts w:eastAsia="MS Mincho"/>
          <w:sz w:val="22"/>
          <w:szCs w:val="22"/>
          <w:lang w:eastAsia="ja-JP"/>
        </w:rPr>
        <w:t xml:space="preserve"> point</w:t>
      </w:r>
      <w:r w:rsidR="003D4804">
        <w:rPr>
          <w:rFonts w:eastAsia="MS Mincho"/>
          <w:sz w:val="22"/>
          <w:szCs w:val="22"/>
          <w:lang w:eastAsia="ja-JP"/>
        </w:rPr>
        <w:t xml:space="preserve"> UL transmission</w:t>
      </w:r>
      <w:r w:rsidR="00611556">
        <w:rPr>
          <w:rFonts w:eastAsia="MS Mincho"/>
          <w:sz w:val="22"/>
          <w:szCs w:val="22"/>
          <w:lang w:eastAsia="ja-JP"/>
        </w:rPr>
        <w:t xml:space="preserve"> to the best TRP in order to improve reliability </w:t>
      </w:r>
    </w:p>
    <w:p w14:paraId="40EF28F3" w14:textId="09D2B973" w:rsidR="00611556" w:rsidRDefault="00611556" w:rsidP="00B34FA1">
      <w:pPr>
        <w:rPr>
          <w:rFonts w:eastAsia="MS Mincho"/>
          <w:sz w:val="22"/>
          <w:szCs w:val="22"/>
          <w:lang w:eastAsia="ja-JP"/>
        </w:rPr>
      </w:pPr>
    </w:p>
    <w:p w14:paraId="7421376F" w14:textId="394FBF02" w:rsidR="00197A1A" w:rsidRDefault="00197A1A" w:rsidP="00B34FA1">
      <w:pPr>
        <w:rPr>
          <w:rFonts w:eastAsia="MS Mincho"/>
          <w:sz w:val="22"/>
          <w:szCs w:val="22"/>
          <w:lang w:eastAsia="ja-JP"/>
        </w:rPr>
      </w:pPr>
      <w:r>
        <w:rPr>
          <w:rFonts w:eastAsia="MS Mincho"/>
          <w:sz w:val="22"/>
          <w:szCs w:val="22"/>
          <w:lang w:eastAsia="ja-JP"/>
        </w:rPr>
        <w:t>In RAN1 #9</w:t>
      </w:r>
      <w:r w:rsidR="00C104EE">
        <w:rPr>
          <w:rFonts w:eastAsia="MS Mincho"/>
          <w:sz w:val="22"/>
          <w:szCs w:val="22"/>
          <w:lang w:eastAsia="ja-JP"/>
        </w:rPr>
        <w:t>5</w:t>
      </w:r>
      <w:r>
        <w:rPr>
          <w:rFonts w:eastAsia="MS Mincho"/>
          <w:sz w:val="22"/>
          <w:szCs w:val="22"/>
          <w:lang w:eastAsia="ja-JP"/>
        </w:rPr>
        <w:t xml:space="preserve"> meeting, further progress has been made regarding to the NCJT design with the following agreement</w:t>
      </w:r>
      <w:r w:rsidR="00F62033">
        <w:rPr>
          <w:rFonts w:eastAsia="MS Mincho"/>
          <w:sz w:val="22"/>
          <w:szCs w:val="22"/>
          <w:lang w:eastAsia="ja-JP"/>
        </w:rPr>
        <w:t xml:space="preserve"> [2]</w:t>
      </w:r>
    </w:p>
    <w:p w14:paraId="0050D90D" w14:textId="77777777" w:rsidR="00F62033" w:rsidRPr="005B08CD" w:rsidRDefault="00F62033" w:rsidP="00B34FA1">
      <w:pPr>
        <w:rPr>
          <w:rFonts w:eastAsia="MS Mincho"/>
          <w:sz w:val="22"/>
          <w:szCs w:val="20"/>
          <w:lang w:eastAsia="ja-JP"/>
        </w:rPr>
      </w:pPr>
    </w:p>
    <w:tbl>
      <w:tblPr>
        <w:tblStyle w:val="TableGrid"/>
        <w:tblW w:w="0" w:type="auto"/>
        <w:tblLook w:val="04A0" w:firstRow="1" w:lastRow="0" w:firstColumn="1" w:lastColumn="0" w:noHBand="0" w:noVBand="1"/>
      </w:tblPr>
      <w:tblGrid>
        <w:gridCol w:w="9855"/>
      </w:tblGrid>
      <w:tr w:rsidR="00C73560" w:rsidRPr="005B08CD" w14:paraId="4CDBEA06" w14:textId="77777777" w:rsidTr="00C73560">
        <w:tc>
          <w:tcPr>
            <w:tcW w:w="9855" w:type="dxa"/>
          </w:tcPr>
          <w:p w14:paraId="20171C90" w14:textId="77777777" w:rsidR="005B08CD" w:rsidRPr="005B08CD" w:rsidRDefault="005B08CD" w:rsidP="005B08CD">
            <w:pPr>
              <w:jc w:val="both"/>
              <w:rPr>
                <w:sz w:val="22"/>
                <w:szCs w:val="20"/>
                <w:highlight w:val="green"/>
              </w:rPr>
            </w:pPr>
            <w:r w:rsidRPr="005B08CD">
              <w:rPr>
                <w:sz w:val="22"/>
                <w:szCs w:val="20"/>
                <w:highlight w:val="green"/>
              </w:rPr>
              <w:t>Agreement</w:t>
            </w:r>
          </w:p>
          <w:p w14:paraId="31AF8001" w14:textId="77777777" w:rsidR="005B08CD" w:rsidRPr="005B08CD" w:rsidRDefault="005B08CD" w:rsidP="005B08CD">
            <w:pPr>
              <w:jc w:val="both"/>
              <w:rPr>
                <w:sz w:val="22"/>
                <w:szCs w:val="20"/>
                <w:lang w:eastAsia="x-none"/>
              </w:rPr>
            </w:pPr>
            <w:r w:rsidRPr="005B08CD">
              <w:rPr>
                <w:sz w:val="22"/>
                <w:szCs w:val="20"/>
              </w:rPr>
              <w:t xml:space="preserve">For multi-TRP/panel transmission, </w:t>
            </w:r>
            <w:r w:rsidRPr="005B08CD">
              <w:rPr>
                <w:sz w:val="22"/>
                <w:szCs w:val="20"/>
                <w:lang w:eastAsia="x-none"/>
              </w:rPr>
              <w:t>both multiple PDCCH and single PDCCH designs are supported in Rel-16</w:t>
            </w:r>
          </w:p>
          <w:p w14:paraId="6AF179D6" w14:textId="60F22F07" w:rsidR="00C73560" w:rsidRPr="005B08CD" w:rsidRDefault="005B08CD" w:rsidP="005B08CD">
            <w:pPr>
              <w:pStyle w:val="ListParagraph"/>
              <w:numPr>
                <w:ilvl w:val="0"/>
                <w:numId w:val="20"/>
              </w:numPr>
              <w:overflowPunct w:val="0"/>
              <w:autoSpaceDE w:val="0"/>
              <w:autoSpaceDN w:val="0"/>
              <w:adjustRightInd w:val="0"/>
              <w:spacing w:after="180"/>
              <w:contextualSpacing/>
              <w:textAlignment w:val="baseline"/>
              <w:rPr>
                <w:szCs w:val="20"/>
              </w:rPr>
            </w:pPr>
            <w:r w:rsidRPr="005B08CD">
              <w:rPr>
                <w:rFonts w:ascii="Times New Roman" w:hAnsi="Times New Roman"/>
                <w:szCs w:val="20"/>
              </w:rPr>
              <w:t>Applies for eMBB</w:t>
            </w:r>
          </w:p>
        </w:tc>
      </w:tr>
    </w:tbl>
    <w:p w14:paraId="0163D0CC" w14:textId="0FF9FDD9" w:rsidR="00197A1A" w:rsidRDefault="00197A1A" w:rsidP="00B34FA1">
      <w:pPr>
        <w:rPr>
          <w:rFonts w:eastAsia="MS Mincho"/>
          <w:sz w:val="22"/>
          <w:szCs w:val="22"/>
          <w:lang w:eastAsia="ja-JP"/>
        </w:rPr>
      </w:pPr>
    </w:p>
    <w:p w14:paraId="121700A5" w14:textId="4E541784" w:rsidR="008A7B5A" w:rsidRDefault="008A7B5A" w:rsidP="008A7B5A">
      <w:pPr>
        <w:rPr>
          <w:rFonts w:eastAsia="MS Mincho"/>
          <w:sz w:val="22"/>
          <w:lang w:eastAsia="ja-JP"/>
        </w:rPr>
      </w:pPr>
      <w:r w:rsidRPr="005D353D">
        <w:rPr>
          <w:rFonts w:eastAsia="MS Mincho"/>
          <w:sz w:val="22"/>
          <w:lang w:eastAsia="ja-JP"/>
        </w:rPr>
        <w:t xml:space="preserve">In RAN1#AH1 2019, further agreement has been reached in terms of the detailed design on how to </w:t>
      </w:r>
      <w:r>
        <w:rPr>
          <w:rFonts w:eastAsia="MS Mincho"/>
          <w:sz w:val="22"/>
          <w:lang w:eastAsia="ja-JP"/>
        </w:rPr>
        <w:t xml:space="preserve">support multi-TRP transmission and reception </w:t>
      </w:r>
      <w:r w:rsidRPr="005D353D">
        <w:rPr>
          <w:rFonts w:eastAsia="MS Mincho"/>
          <w:sz w:val="22"/>
          <w:lang w:eastAsia="ja-JP"/>
        </w:rPr>
        <w:t>[3]</w:t>
      </w:r>
    </w:p>
    <w:p w14:paraId="0B16FDE9" w14:textId="77777777" w:rsidR="00324BF6" w:rsidRPr="005D353D" w:rsidRDefault="00324BF6" w:rsidP="008A7B5A">
      <w:pPr>
        <w:rPr>
          <w:rFonts w:eastAsia="MS Mincho"/>
          <w:sz w:val="22"/>
          <w:lang w:eastAsia="ja-JP"/>
        </w:rPr>
      </w:pPr>
    </w:p>
    <w:tbl>
      <w:tblPr>
        <w:tblStyle w:val="TableGrid"/>
        <w:tblW w:w="0" w:type="auto"/>
        <w:tblLook w:val="04A0" w:firstRow="1" w:lastRow="0" w:firstColumn="1" w:lastColumn="0" w:noHBand="0" w:noVBand="1"/>
      </w:tblPr>
      <w:tblGrid>
        <w:gridCol w:w="9855"/>
      </w:tblGrid>
      <w:tr w:rsidR="00324BF6" w14:paraId="08556017" w14:textId="77777777" w:rsidTr="00324BF6">
        <w:tc>
          <w:tcPr>
            <w:tcW w:w="9855" w:type="dxa"/>
          </w:tcPr>
          <w:p w14:paraId="54C33905" w14:textId="77777777" w:rsidR="00E10ED0" w:rsidRPr="00E10ED0" w:rsidRDefault="00E10ED0" w:rsidP="00E10ED0">
            <w:pPr>
              <w:overflowPunct w:val="0"/>
              <w:autoSpaceDE w:val="0"/>
              <w:autoSpaceDN w:val="0"/>
              <w:adjustRightInd w:val="0"/>
              <w:contextualSpacing/>
              <w:jc w:val="both"/>
              <w:textAlignment w:val="baseline"/>
              <w:rPr>
                <w:sz w:val="22"/>
                <w:szCs w:val="22"/>
                <w:highlight w:val="green"/>
              </w:rPr>
            </w:pPr>
            <w:r w:rsidRPr="00E10ED0">
              <w:rPr>
                <w:b/>
                <w:sz w:val="22"/>
                <w:szCs w:val="22"/>
                <w:highlight w:val="green"/>
              </w:rPr>
              <w:t>Agreement</w:t>
            </w:r>
          </w:p>
          <w:p w14:paraId="606F4D61" w14:textId="77777777" w:rsidR="00E10ED0" w:rsidRPr="00E10ED0" w:rsidRDefault="00E10ED0" w:rsidP="00E10ED0">
            <w:pPr>
              <w:overflowPunct w:val="0"/>
              <w:autoSpaceDE w:val="0"/>
              <w:autoSpaceDN w:val="0"/>
              <w:adjustRightInd w:val="0"/>
              <w:contextualSpacing/>
              <w:jc w:val="both"/>
              <w:textAlignment w:val="baseline"/>
              <w:rPr>
                <w:sz w:val="22"/>
                <w:szCs w:val="22"/>
              </w:rPr>
            </w:pPr>
            <w:r w:rsidRPr="00E10ED0">
              <w:rPr>
                <w:sz w:val="22"/>
                <w:szCs w:val="22"/>
              </w:rPr>
              <w:t>For multi-DCI based multi-TRP/panel transmission, the total number of CWs in scheduled PDSCHs, each of which is scheduled by one</w:t>
            </w:r>
            <w:r w:rsidRPr="00E10ED0">
              <w:rPr>
                <w:sz w:val="22"/>
                <w:szCs w:val="22"/>
                <w:lang w:eastAsia="ko-KR"/>
              </w:rPr>
              <w:t xml:space="preserve"> PDCCH, </w:t>
            </w:r>
            <w:r w:rsidRPr="00E10ED0">
              <w:rPr>
                <w:sz w:val="22"/>
                <w:szCs w:val="22"/>
              </w:rPr>
              <w:t xml:space="preserve">is up to X and also the total </w:t>
            </w:r>
            <w:r w:rsidRPr="00E10ED0">
              <w:rPr>
                <w:rFonts w:eastAsia="SimSun"/>
                <w:sz w:val="22"/>
                <w:szCs w:val="22"/>
              </w:rPr>
              <w:t xml:space="preserve">number of MIMO layers of scheduled PDSCHs is up to reported UE MIMO capability, </w:t>
            </w:r>
            <w:r w:rsidRPr="00E10ED0">
              <w:rPr>
                <w:sz w:val="22"/>
                <w:szCs w:val="22"/>
              </w:rPr>
              <w:t>if resource allocation of PDSCHs are overlapped.</w:t>
            </w:r>
          </w:p>
          <w:p w14:paraId="28F876E7" w14:textId="77777777" w:rsidR="00E10ED0" w:rsidRPr="00E10ED0" w:rsidRDefault="00E10ED0" w:rsidP="00E10ED0">
            <w:pPr>
              <w:pStyle w:val="ListParagraph"/>
              <w:numPr>
                <w:ilvl w:val="0"/>
                <w:numId w:val="22"/>
              </w:numPr>
              <w:contextualSpacing/>
              <w:jc w:val="both"/>
              <w:rPr>
                <w:rFonts w:ascii="Times New Roman" w:hAnsi="Times New Roman"/>
              </w:rPr>
            </w:pPr>
            <w:r w:rsidRPr="00E10ED0">
              <w:rPr>
                <w:rFonts w:ascii="Times New Roman" w:hAnsi="Times New Roman"/>
              </w:rPr>
              <w:t>X=2</w:t>
            </w:r>
          </w:p>
          <w:p w14:paraId="5EF64EA3" w14:textId="77777777" w:rsidR="00E10ED0" w:rsidRPr="00E10ED0" w:rsidRDefault="00E10ED0" w:rsidP="00E10ED0">
            <w:pPr>
              <w:pStyle w:val="ListParagraph"/>
              <w:numPr>
                <w:ilvl w:val="0"/>
                <w:numId w:val="22"/>
              </w:numPr>
              <w:contextualSpacing/>
              <w:jc w:val="both"/>
              <w:rPr>
                <w:rFonts w:ascii="Times New Roman" w:hAnsi="Times New Roman"/>
              </w:rPr>
            </w:pPr>
            <w:r w:rsidRPr="00E10ED0">
              <w:rPr>
                <w:rFonts w:ascii="Times New Roman" w:hAnsi="Times New Roman"/>
              </w:rPr>
              <w:t>FFS: X=3</w:t>
            </w:r>
          </w:p>
          <w:p w14:paraId="2A33B170" w14:textId="77777777" w:rsidR="00E10ED0" w:rsidRPr="00E10ED0" w:rsidRDefault="00E10ED0" w:rsidP="00E10ED0">
            <w:pPr>
              <w:rPr>
                <w:sz w:val="22"/>
                <w:szCs w:val="22"/>
                <w:lang w:eastAsia="x-none"/>
              </w:rPr>
            </w:pPr>
          </w:p>
          <w:p w14:paraId="1C2AD095" w14:textId="77777777" w:rsidR="00E10ED0" w:rsidRPr="00E10ED0" w:rsidRDefault="00E10ED0" w:rsidP="00E10ED0">
            <w:pPr>
              <w:jc w:val="both"/>
              <w:rPr>
                <w:b/>
                <w:sz w:val="22"/>
                <w:szCs w:val="22"/>
                <w:highlight w:val="green"/>
              </w:rPr>
            </w:pPr>
            <w:r w:rsidRPr="00E10ED0">
              <w:rPr>
                <w:b/>
                <w:sz w:val="22"/>
                <w:szCs w:val="22"/>
                <w:highlight w:val="green"/>
              </w:rPr>
              <w:t>Agreement</w:t>
            </w:r>
          </w:p>
          <w:p w14:paraId="17817407" w14:textId="26EE16AC" w:rsidR="00E10ED0" w:rsidRPr="00E10ED0" w:rsidRDefault="00E10ED0" w:rsidP="00E10ED0">
            <w:pPr>
              <w:jc w:val="both"/>
              <w:rPr>
                <w:sz w:val="22"/>
                <w:szCs w:val="22"/>
              </w:rPr>
            </w:pPr>
            <w:r w:rsidRPr="00E10ED0">
              <w:rPr>
                <w:sz w:val="22"/>
                <w:szCs w:val="22"/>
              </w:rPr>
              <w:t>For multiple-PDCCH based multi-TRP/panel transmission for eMBB, for the purposes of PDCCH detection, UE does not assume any dependency amongst the multiple PDCCHs</w:t>
            </w:r>
          </w:p>
          <w:p w14:paraId="5C4CFD7E" w14:textId="77777777" w:rsidR="00E10ED0" w:rsidRPr="00E10ED0" w:rsidRDefault="00E10ED0" w:rsidP="00E10ED0">
            <w:pPr>
              <w:jc w:val="both"/>
              <w:rPr>
                <w:sz w:val="22"/>
                <w:szCs w:val="22"/>
              </w:rPr>
            </w:pPr>
          </w:p>
          <w:p w14:paraId="10A5B985" w14:textId="77777777" w:rsidR="00E10ED0" w:rsidRPr="00E10ED0" w:rsidRDefault="00E10ED0" w:rsidP="00E10ED0">
            <w:pPr>
              <w:rPr>
                <w:b/>
                <w:sz w:val="22"/>
                <w:szCs w:val="22"/>
                <w:highlight w:val="green"/>
              </w:rPr>
            </w:pPr>
            <w:r w:rsidRPr="00E10ED0">
              <w:rPr>
                <w:b/>
                <w:sz w:val="22"/>
                <w:szCs w:val="22"/>
                <w:highlight w:val="green"/>
              </w:rPr>
              <w:t>Agreement</w:t>
            </w:r>
          </w:p>
          <w:p w14:paraId="40CAE8A0" w14:textId="77777777" w:rsidR="00E10ED0" w:rsidRPr="00E10ED0" w:rsidRDefault="00E10ED0" w:rsidP="00E10ED0">
            <w:pPr>
              <w:rPr>
                <w:sz w:val="22"/>
                <w:szCs w:val="22"/>
              </w:rPr>
            </w:pPr>
            <w:r w:rsidRPr="00E10ED0">
              <w:rPr>
                <w:sz w:val="22"/>
                <w:szCs w:val="22"/>
              </w:rPr>
              <w:t xml:space="preserve">TCI indication framework shall be enhanced in Rel-16 at least for eMBB: </w:t>
            </w:r>
          </w:p>
          <w:p w14:paraId="434B1CA3" w14:textId="77777777" w:rsidR="00E10ED0" w:rsidRPr="00E10ED0" w:rsidRDefault="00E10ED0" w:rsidP="00E10ED0">
            <w:pPr>
              <w:numPr>
                <w:ilvl w:val="0"/>
                <w:numId w:val="23"/>
              </w:numPr>
              <w:contextualSpacing/>
              <w:jc w:val="both"/>
              <w:rPr>
                <w:sz w:val="22"/>
                <w:szCs w:val="22"/>
              </w:rPr>
            </w:pPr>
            <w:r w:rsidRPr="00E10ED0">
              <w:rPr>
                <w:sz w:val="22"/>
                <w:szCs w:val="22"/>
              </w:rPr>
              <w:t xml:space="preserve">Each TCI code point in a DCI can correspond to 1 or 2 TCI states </w:t>
            </w:r>
          </w:p>
          <w:p w14:paraId="3396833D" w14:textId="77777777" w:rsidR="00E10ED0" w:rsidRPr="00E10ED0" w:rsidRDefault="00E10ED0" w:rsidP="00E10ED0">
            <w:pPr>
              <w:numPr>
                <w:ilvl w:val="1"/>
                <w:numId w:val="23"/>
              </w:numPr>
              <w:contextualSpacing/>
              <w:jc w:val="both"/>
              <w:rPr>
                <w:sz w:val="22"/>
                <w:szCs w:val="22"/>
              </w:rPr>
            </w:pPr>
            <w:r w:rsidRPr="00E10ED0">
              <w:rPr>
                <w:sz w:val="22"/>
                <w:szCs w:val="22"/>
              </w:rPr>
              <w:t xml:space="preserve">When 2 TCI states are activated within a TCI code point, each TCI state corresponds to one CDM group, at least for DMRS type 1 </w:t>
            </w:r>
          </w:p>
          <w:p w14:paraId="303595D3" w14:textId="77777777" w:rsidR="00E10ED0" w:rsidRPr="00E10ED0" w:rsidRDefault="00E10ED0" w:rsidP="00E10ED0">
            <w:pPr>
              <w:numPr>
                <w:ilvl w:val="2"/>
                <w:numId w:val="23"/>
              </w:numPr>
              <w:contextualSpacing/>
              <w:jc w:val="both"/>
              <w:rPr>
                <w:sz w:val="22"/>
                <w:szCs w:val="22"/>
              </w:rPr>
            </w:pPr>
            <w:r w:rsidRPr="00E10ED0">
              <w:rPr>
                <w:sz w:val="22"/>
                <w:szCs w:val="22"/>
              </w:rPr>
              <w:t>FFS design for DMRS type 2</w:t>
            </w:r>
          </w:p>
          <w:p w14:paraId="12C19141" w14:textId="77777777" w:rsidR="00E10ED0" w:rsidRPr="00E10ED0" w:rsidRDefault="00E10ED0" w:rsidP="00E10ED0">
            <w:pPr>
              <w:numPr>
                <w:ilvl w:val="1"/>
                <w:numId w:val="23"/>
              </w:numPr>
              <w:contextualSpacing/>
              <w:jc w:val="both"/>
              <w:rPr>
                <w:sz w:val="22"/>
                <w:szCs w:val="22"/>
              </w:rPr>
            </w:pPr>
            <w:r w:rsidRPr="00E10ED0">
              <w:rPr>
                <w:sz w:val="22"/>
                <w:szCs w:val="22"/>
              </w:rPr>
              <w:t>FFS: TCI field in DCI, and associated MAC-CE signaling impact</w:t>
            </w:r>
          </w:p>
          <w:p w14:paraId="00318F5C" w14:textId="77777777" w:rsidR="00324BF6" w:rsidRDefault="00324BF6" w:rsidP="00B34FA1">
            <w:pPr>
              <w:rPr>
                <w:rFonts w:eastAsia="MS Mincho"/>
                <w:sz w:val="22"/>
                <w:szCs w:val="22"/>
                <w:lang w:eastAsia="ja-JP"/>
              </w:rPr>
            </w:pPr>
          </w:p>
        </w:tc>
      </w:tr>
    </w:tbl>
    <w:p w14:paraId="048C3697" w14:textId="77777777" w:rsidR="008A7B5A" w:rsidRDefault="008A7B5A" w:rsidP="00B34FA1">
      <w:pPr>
        <w:rPr>
          <w:rFonts w:eastAsia="MS Mincho"/>
          <w:sz w:val="22"/>
          <w:szCs w:val="22"/>
          <w:lang w:eastAsia="ja-JP"/>
        </w:rPr>
      </w:pPr>
    </w:p>
    <w:p w14:paraId="062A7C03" w14:textId="1598B20E" w:rsidR="00544824" w:rsidRPr="00E67EB5" w:rsidRDefault="00B512A2" w:rsidP="004A311F">
      <w:pPr>
        <w:rPr>
          <w:rFonts w:eastAsia="MS Mincho"/>
          <w:sz w:val="22"/>
          <w:szCs w:val="22"/>
          <w:lang w:eastAsia="ja-JP"/>
        </w:rPr>
      </w:pPr>
      <w:r>
        <w:rPr>
          <w:rFonts w:eastAsia="MS Mincho"/>
          <w:sz w:val="22"/>
          <w:szCs w:val="22"/>
          <w:lang w:eastAsia="ja-JP"/>
        </w:rPr>
        <w:t>In the contribution, we consider the PDCCH design for NCJT in the following areas</w:t>
      </w:r>
    </w:p>
    <w:p w14:paraId="470A7D64" w14:textId="143ABAEA" w:rsidR="00E67EB5" w:rsidRDefault="00E67EB5" w:rsidP="00C81D93">
      <w:pPr>
        <w:pStyle w:val="ListParagraph"/>
        <w:numPr>
          <w:ilvl w:val="0"/>
          <w:numId w:val="11"/>
        </w:numPr>
        <w:rPr>
          <w:rFonts w:ascii="Times New Roman" w:hAnsi="Times New Roman"/>
        </w:rPr>
      </w:pPr>
      <w:r>
        <w:rPr>
          <w:rFonts w:ascii="Times New Roman" w:hAnsi="Times New Roman"/>
        </w:rPr>
        <w:t xml:space="preserve">DL </w:t>
      </w:r>
      <w:r w:rsidR="00E202D9">
        <w:rPr>
          <w:rFonts w:ascii="Times New Roman" w:hAnsi="Times New Roman"/>
        </w:rPr>
        <w:t xml:space="preserve">DCI </w:t>
      </w:r>
      <w:r>
        <w:rPr>
          <w:rFonts w:ascii="Times New Roman" w:hAnsi="Times New Roman"/>
        </w:rPr>
        <w:t>PDCCH design for NCJT</w:t>
      </w:r>
    </w:p>
    <w:p w14:paraId="77EB56E8" w14:textId="1296A795" w:rsidR="00D449C9" w:rsidRDefault="00E67EB5" w:rsidP="00C81D93">
      <w:pPr>
        <w:pStyle w:val="ListParagraph"/>
        <w:numPr>
          <w:ilvl w:val="0"/>
          <w:numId w:val="11"/>
        </w:numPr>
        <w:rPr>
          <w:rFonts w:ascii="Times New Roman" w:hAnsi="Times New Roman"/>
        </w:rPr>
      </w:pPr>
      <w:r>
        <w:rPr>
          <w:rFonts w:ascii="Times New Roman" w:hAnsi="Times New Roman"/>
        </w:rPr>
        <w:t>UL</w:t>
      </w:r>
      <w:r w:rsidR="00E202D9" w:rsidRPr="00E202D9">
        <w:rPr>
          <w:rFonts w:ascii="Times New Roman" w:hAnsi="Times New Roman"/>
        </w:rPr>
        <w:t xml:space="preserve"> </w:t>
      </w:r>
      <w:r w:rsidR="00E202D9">
        <w:rPr>
          <w:rFonts w:ascii="Times New Roman" w:hAnsi="Times New Roman"/>
        </w:rPr>
        <w:t>DCI</w:t>
      </w:r>
      <w:r>
        <w:rPr>
          <w:rFonts w:ascii="Times New Roman" w:hAnsi="Times New Roman"/>
        </w:rPr>
        <w:t xml:space="preserve"> PDCCH design for NCJT</w:t>
      </w:r>
    </w:p>
    <w:p w14:paraId="7C7F5221" w14:textId="36E26655" w:rsidR="009D267B" w:rsidRPr="003B1EB1" w:rsidRDefault="00D449C9" w:rsidP="00C81D93">
      <w:pPr>
        <w:pStyle w:val="ListParagraph"/>
        <w:numPr>
          <w:ilvl w:val="0"/>
          <w:numId w:val="11"/>
        </w:numPr>
        <w:rPr>
          <w:rFonts w:ascii="Times New Roman" w:hAnsi="Times New Roman"/>
        </w:rPr>
      </w:pPr>
      <w:r>
        <w:rPr>
          <w:rFonts w:ascii="Times New Roman" w:hAnsi="Times New Roman"/>
        </w:rPr>
        <w:t xml:space="preserve">Management of </w:t>
      </w:r>
      <w:r w:rsidR="00D163EA">
        <w:rPr>
          <w:rFonts w:ascii="Times New Roman" w:hAnsi="Times New Roman"/>
        </w:rPr>
        <w:t>NCJT</w:t>
      </w:r>
      <w:r w:rsidR="00E310AA">
        <w:rPr>
          <w:rFonts w:ascii="Times New Roman" w:hAnsi="Times New Roman"/>
        </w:rPr>
        <w:t xml:space="preserve"> operation</w:t>
      </w:r>
    </w:p>
    <w:p w14:paraId="1CECE628" w14:textId="50A0133D" w:rsidR="00E7007E" w:rsidRDefault="00E7007E" w:rsidP="006F0C31">
      <w:pPr>
        <w:pStyle w:val="Heading1"/>
      </w:pPr>
      <w:r>
        <w:t xml:space="preserve">DL </w:t>
      </w:r>
      <w:r w:rsidR="001D686C">
        <w:t xml:space="preserve">DCI </w:t>
      </w:r>
      <w:r>
        <w:t>PDCCH Design for NCJT</w:t>
      </w:r>
    </w:p>
    <w:p w14:paraId="12DA0A33" w14:textId="77777777" w:rsidR="00E202D9" w:rsidRDefault="009D5710" w:rsidP="0026379A">
      <w:pPr>
        <w:rPr>
          <w:sz w:val="22"/>
        </w:rPr>
      </w:pPr>
      <w:r>
        <w:rPr>
          <w:sz w:val="22"/>
        </w:rPr>
        <w:t>We first consider the scenario where UE receives two PDSCHs, one PDSCH from each TRP.</w:t>
      </w:r>
      <w:r w:rsidR="00E202D9">
        <w:rPr>
          <w:sz w:val="22"/>
        </w:rPr>
        <w:t xml:space="preserve"> We need to consider the DL DCI PDCCH design considering multiple factors, including the backhaul capability, DCI overhead, etc.</w:t>
      </w:r>
    </w:p>
    <w:p w14:paraId="2B9316FF" w14:textId="77777777" w:rsidR="007550D0" w:rsidRDefault="007550D0" w:rsidP="004C0D75">
      <w:pPr>
        <w:rPr>
          <w:rFonts w:eastAsia="SimSun"/>
          <w:b/>
          <w:i/>
          <w:sz w:val="22"/>
          <w:szCs w:val="22"/>
        </w:rPr>
      </w:pPr>
    </w:p>
    <w:p w14:paraId="5EE3526B" w14:textId="2BE59AA2" w:rsidR="001264CE" w:rsidRDefault="001D29AC" w:rsidP="0026379A">
      <w:pPr>
        <w:rPr>
          <w:sz w:val="22"/>
        </w:rPr>
      </w:pPr>
      <w:r>
        <w:rPr>
          <w:sz w:val="22"/>
        </w:rPr>
        <w:t>In terms of the actual DCI content design, we have the following consideration</w:t>
      </w:r>
      <w:r w:rsidR="00CE750C">
        <w:rPr>
          <w:sz w:val="22"/>
        </w:rPr>
        <w:t>s</w:t>
      </w:r>
      <w:r w:rsidR="007D4E4E">
        <w:rPr>
          <w:sz w:val="22"/>
        </w:rPr>
        <w:t>. First</w:t>
      </w:r>
      <w:r w:rsidR="00ED2E26">
        <w:rPr>
          <w:sz w:val="22"/>
        </w:rPr>
        <w:t xml:space="preserve"> of all, the DCI content for two PDSCHs scheduling </w:t>
      </w:r>
      <w:r w:rsidR="00641B03">
        <w:rPr>
          <w:sz w:val="22"/>
        </w:rPr>
        <w:t>most likely</w:t>
      </w:r>
      <w:r w:rsidR="00ED2E26">
        <w:rPr>
          <w:sz w:val="22"/>
        </w:rPr>
        <w:t xml:space="preserve"> share some common information, such as </w:t>
      </w:r>
      <w:r w:rsidR="00466687">
        <w:rPr>
          <w:sz w:val="22"/>
        </w:rPr>
        <w:t xml:space="preserve">carrier indicator, BWP indicator, etc. Furthermore, if NCJT is to utilize the spatial reuse of the same frequency in order to improve UE data rate, other contents of DCI can also be the same for different PDSCH, such as frequency domain, time domain resource assignment, VRB-to-PRB mapping, PRB bundling size indicator and rating matching indicator, etc. </w:t>
      </w:r>
      <w:r w:rsidR="000F1010">
        <w:rPr>
          <w:sz w:val="22"/>
        </w:rPr>
        <w:t xml:space="preserve">Therefore, we have the following proposal </w:t>
      </w:r>
    </w:p>
    <w:p w14:paraId="39A4D1CB" w14:textId="77777777" w:rsidR="008F0292" w:rsidRDefault="008F0292" w:rsidP="0026379A">
      <w:pPr>
        <w:rPr>
          <w:sz w:val="22"/>
        </w:rPr>
      </w:pPr>
    </w:p>
    <w:p w14:paraId="3122B473" w14:textId="57D51F12" w:rsidR="000F1010" w:rsidRDefault="000F1010" w:rsidP="000F101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NR DL NCJT, DCI content </w:t>
      </w:r>
      <w:r w:rsidR="00641B03">
        <w:rPr>
          <w:rFonts w:eastAsia="SimSun"/>
          <w:b/>
          <w:i/>
          <w:sz w:val="22"/>
          <w:szCs w:val="22"/>
        </w:rPr>
        <w:t>can</w:t>
      </w:r>
      <w:r>
        <w:rPr>
          <w:rFonts w:eastAsia="SimSun"/>
          <w:b/>
          <w:i/>
          <w:sz w:val="22"/>
          <w:szCs w:val="22"/>
        </w:rPr>
        <w:t xml:space="preserve"> be further optimized or compressed by exploiting the common scheduling content for two PDSCHs</w:t>
      </w:r>
    </w:p>
    <w:p w14:paraId="78915041" w14:textId="77777777" w:rsidR="000F1010" w:rsidRDefault="000F1010" w:rsidP="0026379A">
      <w:pPr>
        <w:rPr>
          <w:sz w:val="22"/>
        </w:rPr>
      </w:pPr>
    </w:p>
    <w:p w14:paraId="667A9AAB" w14:textId="257A5F85" w:rsidR="00231262" w:rsidRDefault="00231262" w:rsidP="0026379A">
      <w:pPr>
        <w:rPr>
          <w:sz w:val="22"/>
        </w:rPr>
      </w:pPr>
      <w:r>
        <w:rPr>
          <w:sz w:val="22"/>
        </w:rPr>
        <w:t>Secondly, for single DCI design, it is possible to reuse the existing DCI format as much as possible by exploiting the MIMO layers design. Current Rel-15 NR supports maximum of 8 layers MIMO per UE, and the layer to CW mapping is single CW for 1-4 layers and 2 CW for 5-8 layers. There are a few options to accommodate the NCJT scheduling based on the current MIMO frame work.</w:t>
      </w:r>
    </w:p>
    <w:p w14:paraId="11D982B8" w14:textId="77777777" w:rsidR="00231262" w:rsidRDefault="00231262" w:rsidP="0026379A">
      <w:pPr>
        <w:rPr>
          <w:sz w:val="22"/>
        </w:rPr>
      </w:pPr>
    </w:p>
    <w:p w14:paraId="591E8A55"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layers that are mapped to different PDSCH from different TRP</w:t>
      </w:r>
    </w:p>
    <w:p w14:paraId="3EECAA78"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CW mapping to different PDSCH from different TRP</w:t>
      </w:r>
    </w:p>
    <w:p w14:paraId="722950E0"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For CW to TRP mapping, to allow more flexible layers mapping to TRP, NR can consider relaxing the layers to CW mapping restriction</w:t>
      </w:r>
    </w:p>
    <w:p w14:paraId="0258B7F7" w14:textId="10E117CA" w:rsidR="0026379A" w:rsidRDefault="0026379A" w:rsidP="00231262">
      <w:pPr>
        <w:ind w:left="360"/>
      </w:pPr>
    </w:p>
    <w:p w14:paraId="28DC2C8A" w14:textId="77777777" w:rsidR="00FE0C0C" w:rsidRDefault="00231262" w:rsidP="0023126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 xml:space="preserve">For single DCI </w:t>
      </w:r>
      <w:r w:rsidR="00FE0C0C">
        <w:rPr>
          <w:rFonts w:eastAsia="SimSun"/>
          <w:b/>
          <w:i/>
          <w:sz w:val="22"/>
          <w:szCs w:val="22"/>
        </w:rPr>
        <w:t>design, considering reusing the existing DCI framework by allowing layers to TRP mapping or CW to TRP mapping</w:t>
      </w:r>
    </w:p>
    <w:p w14:paraId="6212BB75" w14:textId="77777777" w:rsidR="0012108B" w:rsidRDefault="0012108B" w:rsidP="0012108B"/>
    <w:p w14:paraId="03AE60A2" w14:textId="2F9357D6" w:rsidR="0012108B" w:rsidRPr="000726A4" w:rsidRDefault="0012108B" w:rsidP="0012108B">
      <w:pPr>
        <w:rPr>
          <w:sz w:val="22"/>
          <w:szCs w:val="22"/>
        </w:rPr>
      </w:pPr>
      <w:r w:rsidRPr="000726A4">
        <w:rPr>
          <w:sz w:val="22"/>
          <w:szCs w:val="22"/>
        </w:rPr>
        <w:t>Thirdly, for two stage or two DCI design, reducing the UE DCI decoding complexity is very important. It is beneficial to include the assistance scheduling information in one DCI to help UE decoding the other DCI. The assistance can include but not limited to the following</w:t>
      </w:r>
    </w:p>
    <w:p w14:paraId="1A0E3EFE" w14:textId="2FE1F812" w:rsidR="0012108B" w:rsidRPr="000726A4" w:rsidRDefault="0012108B" w:rsidP="0012108B">
      <w:pPr>
        <w:rPr>
          <w:sz w:val="22"/>
          <w:szCs w:val="22"/>
        </w:rPr>
      </w:pPr>
    </w:p>
    <w:p w14:paraId="583074D4" w14:textId="30D9C6A5"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existence of the other DCI</w:t>
      </w:r>
    </w:p>
    <w:p w14:paraId="5F3FE24E" w14:textId="5C40E460"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time/frequency domain configuration of the second DCI</w:t>
      </w:r>
    </w:p>
    <w:p w14:paraId="7CE0EF15" w14:textId="77777777" w:rsidR="0012108B" w:rsidRPr="000726A4" w:rsidRDefault="0012108B" w:rsidP="0012108B">
      <w:pPr>
        <w:rPr>
          <w:sz w:val="22"/>
          <w:szCs w:val="22"/>
        </w:rPr>
      </w:pPr>
    </w:p>
    <w:p w14:paraId="47384D78" w14:textId="1A3DEC89" w:rsidR="0012108B" w:rsidRPr="000726A4" w:rsidRDefault="0012108B" w:rsidP="0012108B">
      <w:pPr>
        <w:rPr>
          <w:sz w:val="22"/>
          <w:szCs w:val="22"/>
        </w:rPr>
      </w:pPr>
      <w:r w:rsidRPr="000726A4">
        <w:rPr>
          <w:sz w:val="22"/>
          <w:szCs w:val="22"/>
        </w:rPr>
        <w:t>The concept is illustrated as below</w:t>
      </w:r>
      <w:r w:rsidR="000726A4">
        <w:rPr>
          <w:sz w:val="22"/>
          <w:szCs w:val="22"/>
        </w:rPr>
        <w:t xml:space="preserve"> in Figure 1</w:t>
      </w:r>
    </w:p>
    <w:p w14:paraId="2C8633A0" w14:textId="77777777" w:rsidR="0012108B" w:rsidRPr="000726A4" w:rsidRDefault="0012108B" w:rsidP="0012108B">
      <w:pPr>
        <w:rPr>
          <w:sz w:val="22"/>
          <w:szCs w:val="22"/>
        </w:rPr>
      </w:pPr>
    </w:p>
    <w:p w14:paraId="217BE222" w14:textId="77777777" w:rsidR="0012108B" w:rsidRPr="000726A4" w:rsidRDefault="0012108B" w:rsidP="0012108B">
      <w:pPr>
        <w:keepNext/>
        <w:jc w:val="center"/>
        <w:rPr>
          <w:sz w:val="22"/>
          <w:szCs w:val="22"/>
        </w:rPr>
      </w:pPr>
      <w:r w:rsidRPr="000726A4">
        <w:rPr>
          <w:noProof/>
          <w:sz w:val="22"/>
          <w:szCs w:val="22"/>
        </w:rPr>
        <w:drawing>
          <wp:inline distT="0" distB="0" distL="0" distR="0" wp14:anchorId="65101022" wp14:editId="3523F224">
            <wp:extent cx="2568102" cy="1354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082" cy="1381192"/>
                    </a:xfrm>
                    <a:prstGeom prst="rect">
                      <a:avLst/>
                    </a:prstGeom>
                  </pic:spPr>
                </pic:pic>
              </a:graphicData>
            </a:graphic>
          </wp:inline>
        </w:drawing>
      </w:r>
      <w:r w:rsidRPr="000726A4">
        <w:rPr>
          <w:noProof/>
          <w:sz w:val="22"/>
          <w:szCs w:val="22"/>
        </w:rPr>
        <w:drawing>
          <wp:inline distT="0" distB="0" distL="0" distR="0" wp14:anchorId="1F1FE002" wp14:editId="1723BF65">
            <wp:extent cx="2563019" cy="135214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051" cy="1373791"/>
                    </a:xfrm>
                    <a:prstGeom prst="rect">
                      <a:avLst/>
                    </a:prstGeom>
                  </pic:spPr>
                </pic:pic>
              </a:graphicData>
            </a:graphic>
          </wp:inline>
        </w:drawing>
      </w:r>
    </w:p>
    <w:p w14:paraId="4042E98C" w14:textId="3B07EBDF" w:rsidR="0012108B" w:rsidRPr="000726A4" w:rsidRDefault="0012108B" w:rsidP="0012108B">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1</w:t>
      </w:r>
      <w:r w:rsidRPr="000726A4">
        <w:rPr>
          <w:sz w:val="22"/>
          <w:szCs w:val="22"/>
        </w:rPr>
        <w:fldChar w:fldCharType="end"/>
      </w:r>
      <w:r w:rsidRPr="000726A4">
        <w:rPr>
          <w:sz w:val="22"/>
          <w:szCs w:val="22"/>
        </w:rPr>
        <w:t xml:space="preserve"> One DCI to aid the second DCI decoding</w:t>
      </w:r>
    </w:p>
    <w:p w14:paraId="55DA346A" w14:textId="3E53F1D9" w:rsidR="000100FA" w:rsidRPr="000726A4" w:rsidRDefault="0012108B" w:rsidP="0012108B">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 DCI design, considering to in</w:t>
      </w:r>
      <w:r w:rsidR="000100FA" w:rsidRPr="000726A4">
        <w:rPr>
          <w:rFonts w:eastAsia="SimSun"/>
          <w:b/>
          <w:i/>
          <w:sz w:val="22"/>
          <w:szCs w:val="22"/>
        </w:rPr>
        <w:t xml:space="preserve">troduce assistance field in one DCI to aid the decoding of the other DCI, such as </w:t>
      </w:r>
      <w:r w:rsidR="004B6098" w:rsidRPr="000726A4">
        <w:rPr>
          <w:rFonts w:eastAsia="SimSun"/>
          <w:b/>
          <w:i/>
          <w:sz w:val="22"/>
          <w:szCs w:val="22"/>
        </w:rPr>
        <w:t>exist</w:t>
      </w:r>
      <w:r w:rsidR="004B6098">
        <w:rPr>
          <w:rFonts w:eastAsia="SimSun"/>
          <w:b/>
          <w:i/>
          <w:sz w:val="22"/>
          <w:szCs w:val="22"/>
        </w:rPr>
        <w:t>ence</w:t>
      </w:r>
      <w:r w:rsidR="000100FA" w:rsidRPr="000726A4">
        <w:rPr>
          <w:rFonts w:eastAsia="SimSun"/>
          <w:b/>
          <w:i/>
          <w:sz w:val="22"/>
          <w:szCs w:val="22"/>
        </w:rPr>
        <w:t xml:space="preserve"> of the second DCI and resource allocation of the second DCI</w:t>
      </w:r>
    </w:p>
    <w:p w14:paraId="33971CCA" w14:textId="77777777" w:rsidR="0012108B" w:rsidRPr="000726A4" w:rsidRDefault="0012108B" w:rsidP="0012108B">
      <w:pPr>
        <w:rPr>
          <w:sz w:val="22"/>
          <w:szCs w:val="22"/>
        </w:rPr>
      </w:pPr>
    </w:p>
    <w:p w14:paraId="42F35EB2" w14:textId="77E21957" w:rsidR="000726A4" w:rsidRPr="000726A4" w:rsidRDefault="000726A4" w:rsidP="0012108B">
      <w:pPr>
        <w:rPr>
          <w:sz w:val="22"/>
          <w:szCs w:val="22"/>
        </w:rPr>
      </w:pPr>
      <w:r w:rsidRPr="000726A4">
        <w:rPr>
          <w:sz w:val="22"/>
          <w:szCs w:val="22"/>
        </w:rPr>
        <w:t>Fourthly</w:t>
      </w:r>
      <w:r>
        <w:rPr>
          <w:sz w:val="22"/>
          <w:szCs w:val="22"/>
        </w:rPr>
        <w:t xml:space="preserve">, we also need to consider the CORESET configuration of the DCI in order to reduce the UE DCI detection complexity. Consider the scenario when UE is expecting two DCIs for NJCT, UE may have to </w:t>
      </w:r>
      <w:r w:rsidR="00333549">
        <w:rPr>
          <w:sz w:val="22"/>
          <w:szCs w:val="22"/>
        </w:rPr>
        <w:t>exhaust</w:t>
      </w:r>
      <w:r>
        <w:rPr>
          <w:sz w:val="22"/>
          <w:szCs w:val="22"/>
        </w:rPr>
        <w:t xml:space="preserve"> all the DCI decoding hypothesis in order to determine if NCJT scheduling exists or not. However, if there is fixed relationship between two DCIs, UE could save power </w:t>
      </w:r>
      <w:r w:rsidR="00D36DD1">
        <w:rPr>
          <w:sz w:val="22"/>
          <w:szCs w:val="22"/>
        </w:rPr>
        <w:t>at</w:t>
      </w:r>
      <w:r>
        <w:rPr>
          <w:sz w:val="22"/>
          <w:szCs w:val="22"/>
        </w:rPr>
        <w:t xml:space="preserve"> the expense of </w:t>
      </w:r>
      <w:r w:rsidR="008804F9">
        <w:rPr>
          <w:sz w:val="22"/>
          <w:szCs w:val="22"/>
        </w:rPr>
        <w:t>reduced</w:t>
      </w:r>
      <w:r>
        <w:rPr>
          <w:sz w:val="22"/>
          <w:szCs w:val="22"/>
        </w:rPr>
        <w:t xml:space="preserve"> NW scheduling flexib</w:t>
      </w:r>
      <w:r w:rsidRPr="000726A4">
        <w:rPr>
          <w:sz w:val="22"/>
          <w:szCs w:val="22"/>
        </w:rPr>
        <w:t>ility. There are a few options</w:t>
      </w:r>
    </w:p>
    <w:p w14:paraId="04771007" w14:textId="05E7BD7A" w:rsidR="000100FA" w:rsidRPr="000726A4" w:rsidRDefault="000100FA" w:rsidP="0012108B">
      <w:pPr>
        <w:rPr>
          <w:sz w:val="22"/>
          <w:szCs w:val="22"/>
        </w:rPr>
      </w:pPr>
    </w:p>
    <w:p w14:paraId="265CACAA" w14:textId="0D447B5A"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time relationship between two DCIs</w:t>
      </w:r>
    </w:p>
    <w:p w14:paraId="15EE454A" w14:textId="2C2129BB"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frequency relationship between two DCIs</w:t>
      </w:r>
    </w:p>
    <w:p w14:paraId="42D0C09F" w14:textId="0A9F7482"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Two CORESETs design with each DCI in one CORESET with fixed time/frequency relationship. This allows the NW to activate and deactivate NCJT dynamically via CORESET configuration.</w:t>
      </w:r>
    </w:p>
    <w:p w14:paraId="2705E3DE" w14:textId="77777777" w:rsidR="000726A4" w:rsidRPr="000726A4" w:rsidRDefault="000726A4" w:rsidP="000726A4">
      <w:pPr>
        <w:rPr>
          <w:sz w:val="22"/>
          <w:szCs w:val="22"/>
        </w:rPr>
      </w:pPr>
    </w:p>
    <w:p w14:paraId="4BAAF336" w14:textId="423506EB" w:rsidR="000726A4" w:rsidRPr="000726A4" w:rsidRDefault="000726A4" w:rsidP="000726A4">
      <w:pPr>
        <w:rPr>
          <w:sz w:val="22"/>
          <w:szCs w:val="22"/>
        </w:rPr>
      </w:pPr>
      <w:r w:rsidRPr="000726A4">
        <w:rPr>
          <w:sz w:val="22"/>
          <w:szCs w:val="22"/>
        </w:rPr>
        <w:t>The concept is illustrated as below in Figure 2</w:t>
      </w:r>
    </w:p>
    <w:p w14:paraId="2245668F" w14:textId="5DA190D4" w:rsidR="000726A4" w:rsidRPr="000726A4" w:rsidRDefault="000726A4" w:rsidP="000726A4">
      <w:pPr>
        <w:rPr>
          <w:sz w:val="22"/>
          <w:szCs w:val="22"/>
        </w:rPr>
      </w:pPr>
    </w:p>
    <w:p w14:paraId="67F89BA9" w14:textId="77777777" w:rsidR="000726A4" w:rsidRPr="000726A4" w:rsidRDefault="000726A4" w:rsidP="000726A4">
      <w:pPr>
        <w:keepNext/>
        <w:jc w:val="center"/>
        <w:rPr>
          <w:sz w:val="22"/>
          <w:szCs w:val="22"/>
        </w:rPr>
      </w:pPr>
      <w:r w:rsidRPr="000726A4">
        <w:rPr>
          <w:noProof/>
          <w:sz w:val="22"/>
          <w:szCs w:val="22"/>
        </w:rPr>
        <w:lastRenderedPageBreak/>
        <w:drawing>
          <wp:inline distT="0" distB="0" distL="0" distR="0" wp14:anchorId="27170505" wp14:editId="1489A762">
            <wp:extent cx="3356043" cy="22616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0650" cy="2271525"/>
                    </a:xfrm>
                    <a:prstGeom prst="rect">
                      <a:avLst/>
                    </a:prstGeom>
                  </pic:spPr>
                </pic:pic>
              </a:graphicData>
            </a:graphic>
          </wp:inline>
        </w:drawing>
      </w:r>
    </w:p>
    <w:p w14:paraId="3E0F8095" w14:textId="10E53BA7" w:rsidR="000726A4" w:rsidRPr="000726A4" w:rsidRDefault="000726A4" w:rsidP="000726A4">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2</w:t>
      </w:r>
      <w:r w:rsidRPr="000726A4">
        <w:rPr>
          <w:sz w:val="22"/>
          <w:szCs w:val="22"/>
        </w:rPr>
        <w:fldChar w:fldCharType="end"/>
      </w:r>
      <w:r w:rsidRPr="000726A4">
        <w:rPr>
          <w:sz w:val="22"/>
          <w:szCs w:val="22"/>
        </w:rPr>
        <w:t xml:space="preserve"> Fixed time/frequency relationship between two DCIs for UE complexity saving</w:t>
      </w:r>
    </w:p>
    <w:p w14:paraId="51AA4623" w14:textId="2815562E" w:rsidR="000726A4" w:rsidRDefault="000726A4" w:rsidP="000726A4">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 DCI design, considering to introduce </w:t>
      </w:r>
      <w:r>
        <w:rPr>
          <w:rFonts w:eastAsia="SimSun"/>
          <w:b/>
          <w:i/>
          <w:sz w:val="22"/>
          <w:szCs w:val="22"/>
        </w:rPr>
        <w:t>fixed time/frequency relationship between two DCIs, and/or independent CORESET configuration, to reduce UE complexity</w:t>
      </w:r>
    </w:p>
    <w:p w14:paraId="6FDC6BBA" w14:textId="77777777" w:rsidR="000726A4" w:rsidRDefault="000726A4" w:rsidP="000726A4"/>
    <w:p w14:paraId="0ADC9A2A" w14:textId="0A7553DE" w:rsidR="0000253E" w:rsidRDefault="0000253E" w:rsidP="000726A4">
      <w:pPr>
        <w:rPr>
          <w:sz w:val="22"/>
          <w:szCs w:val="22"/>
        </w:rPr>
      </w:pPr>
      <w:r>
        <w:rPr>
          <w:sz w:val="22"/>
          <w:szCs w:val="22"/>
        </w:rPr>
        <w:t>Last but not the least, it is also important to consider the scenario when UE is only capable of receiving one PDSCH due to either hardware limitation or other issues such as UE power consumption</w:t>
      </w:r>
      <w:r w:rsidR="00D075E1">
        <w:rPr>
          <w:sz w:val="22"/>
          <w:szCs w:val="22"/>
        </w:rPr>
        <w:t>, thermal limitation etc</w:t>
      </w:r>
      <w:r>
        <w:rPr>
          <w:sz w:val="22"/>
          <w:szCs w:val="22"/>
        </w:rPr>
        <w:t>. Even in this case</w:t>
      </w:r>
      <w:r w:rsidR="00D075E1">
        <w:rPr>
          <w:sz w:val="22"/>
          <w:szCs w:val="22"/>
        </w:rPr>
        <w:t xml:space="preserve"> when UE only support single PDSCH decoding</w:t>
      </w:r>
      <w:r>
        <w:rPr>
          <w:sz w:val="22"/>
          <w:szCs w:val="22"/>
        </w:rPr>
        <w:t xml:space="preserve">, NCJT can still provide performance </w:t>
      </w:r>
      <w:r w:rsidR="006D2FF5">
        <w:rPr>
          <w:sz w:val="22"/>
          <w:szCs w:val="22"/>
        </w:rPr>
        <w:t>benefit</w:t>
      </w:r>
      <w:r>
        <w:rPr>
          <w:sz w:val="22"/>
          <w:szCs w:val="22"/>
        </w:rPr>
        <w:t xml:space="preserve"> by dynamic TRP pointing. There are a few things to consider</w:t>
      </w:r>
    </w:p>
    <w:p w14:paraId="3B52DB7E" w14:textId="77777777" w:rsidR="0000253E" w:rsidRDefault="0000253E" w:rsidP="000726A4">
      <w:pPr>
        <w:rPr>
          <w:sz w:val="22"/>
          <w:szCs w:val="22"/>
        </w:rPr>
      </w:pPr>
    </w:p>
    <w:p w14:paraId="0F5EBC5B" w14:textId="3751E75C" w:rsidR="0000253E" w:rsidRDefault="0000253E" w:rsidP="00C81D93">
      <w:pPr>
        <w:pStyle w:val="ListParagraph"/>
        <w:numPr>
          <w:ilvl w:val="0"/>
          <w:numId w:val="16"/>
        </w:numPr>
        <w:rPr>
          <w:rFonts w:ascii="Times New Roman" w:hAnsi="Times New Roman"/>
        </w:rPr>
      </w:pPr>
      <w:r>
        <w:rPr>
          <w:rFonts w:ascii="Times New Roman" w:hAnsi="Times New Roman"/>
        </w:rPr>
        <w:t xml:space="preserve">The TRP index or extended HARQ processing ID can be signaled in the DCI. This is very useful for dynamic single/dual streams </w:t>
      </w:r>
      <w:r w:rsidR="008D0396">
        <w:rPr>
          <w:rFonts w:ascii="Times New Roman" w:hAnsi="Times New Roman"/>
        </w:rPr>
        <w:t>switching</w:t>
      </w:r>
      <w:r>
        <w:rPr>
          <w:rFonts w:ascii="Times New Roman" w:hAnsi="Times New Roman"/>
        </w:rPr>
        <w:t xml:space="preserve"> and cross TRP retransmission</w:t>
      </w:r>
    </w:p>
    <w:p w14:paraId="4A379D6D" w14:textId="6DDC41FC" w:rsidR="0000253E" w:rsidRDefault="0000253E" w:rsidP="00C81D93">
      <w:pPr>
        <w:pStyle w:val="ListParagraph"/>
        <w:numPr>
          <w:ilvl w:val="0"/>
          <w:numId w:val="16"/>
        </w:numPr>
        <w:rPr>
          <w:rFonts w:ascii="Times New Roman" w:hAnsi="Times New Roman"/>
        </w:rPr>
      </w:pPr>
      <w:r>
        <w:rPr>
          <w:rFonts w:ascii="Times New Roman" w:hAnsi="Times New Roman"/>
        </w:rPr>
        <w:t>For designs that require two DCI, certain reservation field such as reserve</w:t>
      </w:r>
      <w:r w:rsidR="0064023C">
        <w:rPr>
          <w:rFonts w:ascii="Times New Roman" w:hAnsi="Times New Roman"/>
        </w:rPr>
        <w:t>d</w:t>
      </w:r>
      <w:r>
        <w:rPr>
          <w:rFonts w:ascii="Times New Roman" w:hAnsi="Times New Roman"/>
        </w:rPr>
        <w:t xml:space="preserve"> MCS/RV/NDI etc. can be used to signal that the corresponding PDSCH is disabled.</w:t>
      </w:r>
    </w:p>
    <w:p w14:paraId="43E2B43A" w14:textId="77777777" w:rsidR="0000253E" w:rsidRDefault="0000253E" w:rsidP="0000253E">
      <w:pPr>
        <w:pStyle w:val="ListParagraph"/>
        <w:rPr>
          <w:rFonts w:ascii="Times New Roman" w:hAnsi="Times New Roman"/>
        </w:rPr>
      </w:pPr>
    </w:p>
    <w:p w14:paraId="726A772F" w14:textId="48B95212" w:rsidR="0000253E" w:rsidRPr="00B64157" w:rsidRDefault="0000253E" w:rsidP="00B64157">
      <w:pPr>
        <w:rPr>
          <w:rFonts w:eastAsia="SimSun"/>
          <w:b/>
          <w:i/>
          <w:sz w:val="22"/>
          <w:szCs w:val="22"/>
        </w:rPr>
      </w:pPr>
      <w:r w:rsidRPr="000726A4">
        <w:rPr>
          <w:rFonts w:eastAsia="SimSun"/>
          <w:b/>
          <w:bCs/>
          <w:i/>
          <w:sz w:val="22"/>
          <w:szCs w:val="22"/>
          <w:u w:val="single"/>
        </w:rPr>
        <w:t xml:space="preserve">Proposal </w:t>
      </w:r>
      <w:r w:rsidR="00024A45">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396965B5" w14:textId="479352EA" w:rsidR="00286401" w:rsidRPr="00FE50D6" w:rsidRDefault="00590FC4" w:rsidP="0026379A">
      <w:pPr>
        <w:pStyle w:val="Heading1"/>
      </w:pPr>
      <w:r>
        <w:t>UL DCI PDCCH Design for NCJT</w:t>
      </w:r>
    </w:p>
    <w:p w14:paraId="2D8C73F8" w14:textId="38AEC3C4" w:rsidR="00286401" w:rsidRDefault="00BD55BF" w:rsidP="0026379A">
      <w:pPr>
        <w:rPr>
          <w:sz w:val="22"/>
        </w:rPr>
      </w:pPr>
      <w:r>
        <w:rPr>
          <w:sz w:val="22"/>
        </w:rPr>
        <w:t>UL NCJT also requires the gNB to schedule two PUSCH or schedule one PUSCH for dynamic TRP pointing. Therefore, all the above DCI discussion for</w:t>
      </w:r>
      <w:r w:rsidR="00017180">
        <w:rPr>
          <w:sz w:val="22"/>
        </w:rPr>
        <w:t xml:space="preserve"> DL NCJT largely applies for UL NCJT design. In this section, we consider design that is especially important for FR2.</w:t>
      </w:r>
    </w:p>
    <w:p w14:paraId="64EB79DB" w14:textId="77777777" w:rsidR="00017180" w:rsidRDefault="00017180" w:rsidP="0026379A">
      <w:pPr>
        <w:rPr>
          <w:sz w:val="22"/>
        </w:rPr>
      </w:pPr>
    </w:p>
    <w:p w14:paraId="2398FDB0" w14:textId="67DD123B" w:rsidR="00017180" w:rsidRDefault="00017180" w:rsidP="0026379A">
      <w:pPr>
        <w:rPr>
          <w:sz w:val="22"/>
        </w:rPr>
      </w:pPr>
      <w:r>
        <w:rPr>
          <w:sz w:val="22"/>
        </w:rPr>
        <w:t>Current Rel-15 has certain discrepancy in terms of the beam configuration for PUSCH/PDSCH. PDSCH beam is indicated via TCI while PUSCH beam is indicated via SRI. It is possible that SRI can be QCL’ed to CSI-RS or SSB. However, it is still preferable to have clean design by introducing TCI in UL DCI to indicate the Tx beam for UEs with beam correspondence.</w:t>
      </w:r>
    </w:p>
    <w:p w14:paraId="57AB04CC" w14:textId="77777777" w:rsidR="00017180" w:rsidRDefault="00017180" w:rsidP="0026379A">
      <w:pPr>
        <w:rPr>
          <w:sz w:val="22"/>
        </w:rPr>
      </w:pPr>
    </w:p>
    <w:p w14:paraId="3FEBF20F" w14:textId="50C9B44D" w:rsidR="00017180" w:rsidRDefault="00017180" w:rsidP="00017180">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01BC804E" w14:textId="77777777" w:rsidR="00017180" w:rsidRDefault="00017180" w:rsidP="0026379A">
      <w:pPr>
        <w:rPr>
          <w:sz w:val="22"/>
        </w:rPr>
      </w:pPr>
    </w:p>
    <w:p w14:paraId="6516DFC9" w14:textId="012DDCB0" w:rsidR="00017180" w:rsidRDefault="00017180" w:rsidP="0026379A">
      <w:pPr>
        <w:rPr>
          <w:sz w:val="22"/>
        </w:rPr>
      </w:pPr>
      <w:r>
        <w:rPr>
          <w:sz w:val="22"/>
        </w:rPr>
        <w:t>For FR2, transmission/reception of two PDSCH to/from two different TRP may require UE to apply different Tx/Rx beam. Therefore, it is nature for NR to introduce independent beam configurations (TCI or SRI) for both UL and DL for each PUSCH and PDSCH in order to support NCJT</w:t>
      </w:r>
    </w:p>
    <w:p w14:paraId="32ADCA40" w14:textId="77777777" w:rsidR="00017180" w:rsidRDefault="00017180" w:rsidP="0026379A">
      <w:pPr>
        <w:rPr>
          <w:sz w:val="22"/>
        </w:rPr>
      </w:pPr>
    </w:p>
    <w:p w14:paraId="286490C9" w14:textId="3E4819AD" w:rsidR="00017180" w:rsidRDefault="00017180" w:rsidP="00017180">
      <w:pPr>
        <w:rPr>
          <w:rFonts w:eastAsia="SimSun"/>
          <w:b/>
          <w:i/>
          <w:sz w:val="22"/>
          <w:szCs w:val="22"/>
        </w:rPr>
      </w:pPr>
      <w:r w:rsidRPr="000726A4">
        <w:rPr>
          <w:rFonts w:eastAsia="SimSun"/>
          <w:b/>
          <w:bCs/>
          <w:i/>
          <w:sz w:val="22"/>
          <w:szCs w:val="22"/>
          <w:u w:val="single"/>
        </w:rPr>
        <w:t xml:space="preserve">Proposal </w:t>
      </w:r>
      <w:r w:rsidR="008B4C9A">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7D40532E" w14:textId="77777777" w:rsidR="00E310AA" w:rsidRDefault="00E310AA" w:rsidP="00590FC4">
      <w:pPr>
        <w:pStyle w:val="Heading1"/>
      </w:pPr>
      <w:r>
        <w:lastRenderedPageBreak/>
        <w:t>Management of NCJT Operation</w:t>
      </w:r>
    </w:p>
    <w:p w14:paraId="4F200058" w14:textId="165F505B" w:rsidR="007C5251" w:rsidRDefault="007C5251" w:rsidP="0026379A">
      <w:pPr>
        <w:rPr>
          <w:sz w:val="22"/>
        </w:rPr>
      </w:pPr>
      <w:r>
        <w:rPr>
          <w:sz w:val="22"/>
        </w:rPr>
        <w:t>Even though NCJT can potentially improve UE performance such as throughput and reliability, it also introduces con</w:t>
      </w:r>
      <w:r w:rsidR="00242757">
        <w:rPr>
          <w:sz w:val="22"/>
        </w:rPr>
        <w:t>s</w:t>
      </w:r>
      <w:r>
        <w:rPr>
          <w:sz w:val="22"/>
        </w:rPr>
        <w:t>t</w:t>
      </w:r>
      <w:r w:rsidR="00242757">
        <w:rPr>
          <w:sz w:val="22"/>
        </w:rPr>
        <w:t>r</w:t>
      </w:r>
      <w:r>
        <w:rPr>
          <w:sz w:val="22"/>
        </w:rPr>
        <w:t>ains at both the UE and NW side</w:t>
      </w:r>
    </w:p>
    <w:p w14:paraId="10174762" w14:textId="77777777" w:rsidR="007C5251" w:rsidRDefault="007C5251" w:rsidP="0026379A">
      <w:pPr>
        <w:rPr>
          <w:sz w:val="22"/>
        </w:rPr>
      </w:pPr>
    </w:p>
    <w:p w14:paraId="56ABFCAE" w14:textId="3E96B4C2" w:rsidR="00093BA8" w:rsidRPr="00093BA8" w:rsidRDefault="007C5251" w:rsidP="00C81D93">
      <w:pPr>
        <w:pStyle w:val="ListParagraph"/>
        <w:numPr>
          <w:ilvl w:val="0"/>
          <w:numId w:val="17"/>
        </w:numPr>
        <w:rPr>
          <w:rFonts w:ascii="Times New Roman" w:hAnsi="Times New Roman"/>
        </w:rPr>
      </w:pPr>
      <w:r w:rsidRPr="00093BA8">
        <w:rPr>
          <w:rFonts w:ascii="Times New Roman" w:hAnsi="Times New Roman"/>
        </w:rPr>
        <w:t xml:space="preserve">NCJT requires UE to monitor multiple DCI and decode multiple PDSCH simultaneously </w:t>
      </w:r>
      <w:r w:rsidR="00093BA8" w:rsidRPr="00093BA8">
        <w:rPr>
          <w:rFonts w:ascii="Times New Roman" w:hAnsi="Times New Roman"/>
        </w:rPr>
        <w:t xml:space="preserve">which increase the </w:t>
      </w:r>
      <w:r w:rsidR="00A9647E">
        <w:rPr>
          <w:rFonts w:ascii="Times New Roman" w:hAnsi="Times New Roman"/>
        </w:rPr>
        <w:t>UE</w:t>
      </w:r>
      <w:r w:rsidR="006E0270">
        <w:rPr>
          <w:rFonts w:ascii="Times New Roman" w:hAnsi="Times New Roman"/>
        </w:rPr>
        <w:t xml:space="preserve"> </w:t>
      </w:r>
      <w:r w:rsidR="00093BA8" w:rsidRPr="00093BA8">
        <w:rPr>
          <w:rFonts w:ascii="Times New Roman" w:hAnsi="Times New Roman"/>
        </w:rPr>
        <w:t>complexity and power consumption</w:t>
      </w:r>
    </w:p>
    <w:p w14:paraId="1131751E" w14:textId="64F1332D"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may require UE to support multiple bean simultaneously in FR2 subject to UE hardware limitation and power consumption</w:t>
      </w:r>
    </w:p>
    <w:p w14:paraId="5AAC3DFE" w14:textId="77777777"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can potentially complicates the gNB scheduling and demand higher backhaul requirement.</w:t>
      </w:r>
    </w:p>
    <w:p w14:paraId="680CD727" w14:textId="77777777" w:rsidR="00093BA8" w:rsidRDefault="00093BA8" w:rsidP="00093BA8">
      <w:pPr>
        <w:pStyle w:val="ListParagraph"/>
        <w:ind w:left="927"/>
      </w:pPr>
    </w:p>
    <w:p w14:paraId="212EE6C8" w14:textId="031372AB" w:rsidR="00093BA8" w:rsidRDefault="00093BA8" w:rsidP="00093BA8">
      <w:pPr>
        <w:rPr>
          <w:sz w:val="22"/>
        </w:rPr>
      </w:pPr>
      <w:r>
        <w:rPr>
          <w:sz w:val="22"/>
        </w:rPr>
        <w:t>Based on the above discussion, it is reasonable for UE to request activation and deactivation of NCJT due to various reason such as (</w:t>
      </w:r>
      <w:r w:rsidRPr="00093BA8">
        <w:rPr>
          <w:sz w:val="22"/>
        </w:rPr>
        <w:t>1) UE uplink buffer is lower or higher than a threshold for certain period of time (2) UE battery status and/or thermal status</w:t>
      </w:r>
      <w:r>
        <w:rPr>
          <w:sz w:val="22"/>
        </w:rPr>
        <w:t>, etc.</w:t>
      </w:r>
    </w:p>
    <w:p w14:paraId="54D178C8" w14:textId="77777777" w:rsidR="00093BA8" w:rsidRPr="00093BA8" w:rsidRDefault="00093BA8" w:rsidP="00093BA8">
      <w:pPr>
        <w:rPr>
          <w:sz w:val="22"/>
        </w:rPr>
      </w:pPr>
    </w:p>
    <w:p w14:paraId="4E023BED" w14:textId="77777777" w:rsidR="00093BA8" w:rsidRDefault="00093BA8" w:rsidP="00093BA8">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2BD849D1" w14:textId="77777777" w:rsidR="00093BA8" w:rsidRDefault="00093BA8" w:rsidP="00093BA8">
      <w:pPr>
        <w:rPr>
          <w:sz w:val="22"/>
        </w:rPr>
      </w:pPr>
    </w:p>
    <w:p w14:paraId="7A5BADA8" w14:textId="470CBC78" w:rsidR="00093BA8" w:rsidRPr="002108DF" w:rsidRDefault="00C1650B" w:rsidP="00093BA8">
      <w:pPr>
        <w:rPr>
          <w:sz w:val="22"/>
          <w:szCs w:val="22"/>
        </w:rPr>
      </w:pPr>
      <w:r>
        <w:rPr>
          <w:sz w:val="22"/>
        </w:rPr>
        <w:t xml:space="preserve">Similar </w:t>
      </w:r>
      <w:r w:rsidR="006E4A91">
        <w:rPr>
          <w:sz w:val="22"/>
        </w:rPr>
        <w:t>consideration</w:t>
      </w:r>
      <w:r>
        <w:rPr>
          <w:sz w:val="22"/>
        </w:rPr>
        <w:t xml:space="preserve"> also </w:t>
      </w:r>
      <w:r w:rsidR="00ED178A">
        <w:rPr>
          <w:sz w:val="22"/>
        </w:rPr>
        <w:t>applies</w:t>
      </w:r>
      <w:r>
        <w:rPr>
          <w:sz w:val="22"/>
        </w:rPr>
        <w:t xml:space="preserve"> for NW, it is also reasonable for NW to activate and deactivate NCJT </w:t>
      </w:r>
      <w:r w:rsidR="00093BA8" w:rsidRPr="00093BA8">
        <w:rPr>
          <w:sz w:val="22"/>
        </w:rPr>
        <w:t xml:space="preserve">dynamically which can </w:t>
      </w:r>
      <w:r>
        <w:rPr>
          <w:sz w:val="22"/>
        </w:rPr>
        <w:t xml:space="preserve">be </w:t>
      </w:r>
      <w:r w:rsidR="00093BA8" w:rsidRPr="00093BA8">
        <w:rPr>
          <w:sz w:val="22"/>
        </w:rPr>
        <w:t>done via RRC/MAC-CE/DCI</w:t>
      </w:r>
      <w:r w:rsidR="00144AA0">
        <w:rPr>
          <w:sz w:val="22"/>
        </w:rPr>
        <w:t>.</w:t>
      </w:r>
      <w:r w:rsidR="00093BA8">
        <w:rPr>
          <w:sz w:val="22"/>
        </w:rPr>
        <w:t xml:space="preserve"> </w:t>
      </w:r>
      <w:r w:rsidR="00B63C17">
        <w:rPr>
          <w:sz w:val="22"/>
        </w:rPr>
        <w:t xml:space="preserve">The NCJT configuration can be independent for each BWP considering that some BWP may target low date rate, low power consumption operation, while some </w:t>
      </w:r>
      <w:r w:rsidR="00B63C17" w:rsidRPr="002108DF">
        <w:rPr>
          <w:sz w:val="22"/>
          <w:szCs w:val="22"/>
        </w:rPr>
        <w:t>BWP may target high data rate, high power consumption operation.</w:t>
      </w:r>
    </w:p>
    <w:p w14:paraId="2371F760" w14:textId="77777777" w:rsidR="00C1650B" w:rsidRPr="002108DF" w:rsidRDefault="00C1650B" w:rsidP="0026379A">
      <w:pPr>
        <w:rPr>
          <w:sz w:val="22"/>
          <w:szCs w:val="22"/>
        </w:rPr>
      </w:pPr>
    </w:p>
    <w:p w14:paraId="3BF10583" w14:textId="3AA57AA4" w:rsidR="00C1650B" w:rsidRPr="002108DF" w:rsidRDefault="00C1650B" w:rsidP="00C1650B">
      <w:pPr>
        <w:rPr>
          <w:rFonts w:eastAsia="SimSun"/>
          <w:b/>
          <w:i/>
          <w:sz w:val="22"/>
          <w:szCs w:val="22"/>
        </w:rPr>
      </w:pPr>
      <w:r w:rsidRPr="002108DF">
        <w:rPr>
          <w:rFonts w:eastAsia="SimSun"/>
          <w:b/>
          <w:bCs/>
          <w:i/>
          <w:sz w:val="22"/>
          <w:szCs w:val="22"/>
          <w:u w:val="single"/>
        </w:rPr>
        <w:t xml:space="preserve">Proposal </w:t>
      </w:r>
      <w:r w:rsidR="00A65FB8" w:rsidRPr="002108DF">
        <w:rPr>
          <w:rFonts w:eastAsia="SimSun"/>
          <w:b/>
          <w:bCs/>
          <w:i/>
          <w:sz w:val="22"/>
          <w:szCs w:val="22"/>
          <w:u w:val="single"/>
        </w:rPr>
        <w:t>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sidR="00587E5F">
        <w:rPr>
          <w:rFonts w:eastAsia="SimSun"/>
          <w:b/>
          <w:i/>
          <w:sz w:val="22"/>
          <w:szCs w:val="22"/>
        </w:rPr>
        <w:t xml:space="preserve">, preferably </w:t>
      </w:r>
      <w:r w:rsidR="00144AA0" w:rsidRPr="002108DF">
        <w:rPr>
          <w:rFonts w:eastAsia="SimSun"/>
          <w:b/>
          <w:i/>
          <w:sz w:val="22"/>
          <w:szCs w:val="22"/>
        </w:rPr>
        <w:t>independently for each BWP</w:t>
      </w:r>
    </w:p>
    <w:p w14:paraId="662BDE03" w14:textId="77777777" w:rsidR="00C1650B" w:rsidRPr="002108DF" w:rsidRDefault="00C1650B" w:rsidP="0026379A">
      <w:pPr>
        <w:rPr>
          <w:sz w:val="22"/>
          <w:szCs w:val="22"/>
        </w:rPr>
      </w:pPr>
    </w:p>
    <w:p w14:paraId="55BB6C27" w14:textId="4141CAF3" w:rsidR="00F37E54" w:rsidRPr="002108DF" w:rsidRDefault="00B63C17" w:rsidP="0026379A">
      <w:pPr>
        <w:rPr>
          <w:sz w:val="22"/>
          <w:szCs w:val="22"/>
        </w:rPr>
      </w:pPr>
      <w:r w:rsidRPr="002108DF">
        <w:rPr>
          <w:sz w:val="22"/>
          <w:szCs w:val="22"/>
        </w:rPr>
        <w:t xml:space="preserve">NCJT is most useful when two TRPs are close in signal quality, while </w:t>
      </w:r>
      <w:r w:rsidR="00E538E1">
        <w:rPr>
          <w:sz w:val="22"/>
          <w:szCs w:val="22"/>
        </w:rPr>
        <w:t xml:space="preserve">NCJT </w:t>
      </w:r>
      <w:r w:rsidRPr="002108DF">
        <w:rPr>
          <w:sz w:val="22"/>
          <w:szCs w:val="22"/>
        </w:rPr>
        <w:t xml:space="preserve">becomes useless when one TRP is significantly weaker than the other TRP. Therefore, it is </w:t>
      </w:r>
      <w:r w:rsidR="00624673">
        <w:rPr>
          <w:sz w:val="22"/>
          <w:szCs w:val="22"/>
        </w:rPr>
        <w:t xml:space="preserve">necessary </w:t>
      </w:r>
      <w:r w:rsidRPr="002108DF">
        <w:rPr>
          <w:sz w:val="22"/>
          <w:szCs w:val="22"/>
        </w:rPr>
        <w:t xml:space="preserve">to introduce measurement report to support </w:t>
      </w:r>
      <w:r w:rsidR="00F37E54" w:rsidRPr="002108DF">
        <w:rPr>
          <w:sz w:val="22"/>
          <w:szCs w:val="22"/>
        </w:rPr>
        <w:t>adaptive NCJT operation as illustrated in Figure 3</w:t>
      </w:r>
    </w:p>
    <w:p w14:paraId="7A69B16C" w14:textId="77777777" w:rsidR="00F37E54" w:rsidRPr="002108DF" w:rsidRDefault="00F37E54" w:rsidP="0026379A">
      <w:pPr>
        <w:rPr>
          <w:sz w:val="22"/>
          <w:szCs w:val="22"/>
        </w:rPr>
      </w:pPr>
    </w:p>
    <w:p w14:paraId="03FF5473" w14:textId="77777777" w:rsidR="002108DF" w:rsidRPr="002108DF" w:rsidRDefault="00F37E54" w:rsidP="002108DF">
      <w:pPr>
        <w:keepNext/>
        <w:jc w:val="center"/>
        <w:rPr>
          <w:sz w:val="22"/>
          <w:szCs w:val="22"/>
        </w:rPr>
      </w:pPr>
      <w:r w:rsidRPr="002108DF">
        <w:rPr>
          <w:noProof/>
          <w:sz w:val="22"/>
          <w:szCs w:val="22"/>
        </w:rPr>
        <w:drawing>
          <wp:inline distT="0" distB="0" distL="0" distR="0" wp14:anchorId="2A93B994" wp14:editId="22BC6A14">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4002" cy="2419403"/>
                    </a:xfrm>
                    <a:prstGeom prst="rect">
                      <a:avLst/>
                    </a:prstGeom>
                  </pic:spPr>
                </pic:pic>
              </a:graphicData>
            </a:graphic>
          </wp:inline>
        </w:drawing>
      </w:r>
    </w:p>
    <w:p w14:paraId="24456D51" w14:textId="56EFCF5E" w:rsidR="00F37E54" w:rsidRPr="002108DF" w:rsidRDefault="002108DF" w:rsidP="002108DF">
      <w:pPr>
        <w:pStyle w:val="Caption"/>
        <w:rPr>
          <w:sz w:val="22"/>
          <w:szCs w:val="22"/>
        </w:rPr>
      </w:pPr>
      <w:r w:rsidRPr="002108DF">
        <w:rPr>
          <w:sz w:val="22"/>
          <w:szCs w:val="22"/>
        </w:rPr>
        <w:t xml:space="preserve">Figure </w:t>
      </w:r>
      <w:r w:rsidRPr="002108DF">
        <w:rPr>
          <w:sz w:val="22"/>
          <w:szCs w:val="22"/>
        </w:rPr>
        <w:fldChar w:fldCharType="begin"/>
      </w:r>
      <w:r w:rsidRPr="002108DF">
        <w:rPr>
          <w:sz w:val="22"/>
          <w:szCs w:val="22"/>
        </w:rPr>
        <w:instrText xml:space="preserve"> SEQ Figure \* ARABIC </w:instrText>
      </w:r>
      <w:r w:rsidRPr="002108DF">
        <w:rPr>
          <w:sz w:val="22"/>
          <w:szCs w:val="22"/>
        </w:rPr>
        <w:fldChar w:fldCharType="separate"/>
      </w:r>
      <w:r w:rsidRPr="002108DF">
        <w:rPr>
          <w:noProof/>
          <w:sz w:val="22"/>
          <w:szCs w:val="22"/>
        </w:rPr>
        <w:t>3</w:t>
      </w:r>
      <w:r w:rsidRPr="002108DF">
        <w:rPr>
          <w:sz w:val="22"/>
          <w:szCs w:val="22"/>
        </w:rPr>
        <w:fldChar w:fldCharType="end"/>
      </w:r>
      <w:r w:rsidRPr="002108DF">
        <w:rPr>
          <w:sz w:val="22"/>
          <w:szCs w:val="22"/>
        </w:rPr>
        <w:t xml:space="preserve"> Mobility report for adaptive NCJT operation</w:t>
      </w:r>
    </w:p>
    <w:p w14:paraId="120F87A4" w14:textId="656249C2" w:rsidR="002108DF" w:rsidRPr="002108DF" w:rsidRDefault="002108DF" w:rsidP="0026379A">
      <w:pPr>
        <w:rPr>
          <w:sz w:val="22"/>
          <w:szCs w:val="22"/>
        </w:rPr>
      </w:pPr>
      <w:r w:rsidRPr="002108DF">
        <w:rPr>
          <w:sz w:val="22"/>
          <w:szCs w:val="22"/>
        </w:rPr>
        <w:t xml:space="preserve">Measurement can be done at L3 </w:t>
      </w:r>
      <w:r w:rsidR="001055E8">
        <w:rPr>
          <w:sz w:val="22"/>
          <w:szCs w:val="22"/>
        </w:rPr>
        <w:t xml:space="preserve">or L1. </w:t>
      </w:r>
      <w:r w:rsidR="00F37E54" w:rsidRPr="002108DF">
        <w:rPr>
          <w:sz w:val="22"/>
          <w:szCs w:val="22"/>
        </w:rPr>
        <w:t>The measurement</w:t>
      </w:r>
      <w:r w:rsidRPr="002108DF">
        <w:rPr>
          <w:sz w:val="22"/>
          <w:szCs w:val="22"/>
        </w:rPr>
        <w:t xml:space="preserve"> can include but not limited to the following,</w:t>
      </w:r>
    </w:p>
    <w:p w14:paraId="591A5F0D" w14:textId="77777777" w:rsidR="002108DF" w:rsidRPr="002108DF" w:rsidRDefault="002108DF" w:rsidP="0026379A">
      <w:pPr>
        <w:rPr>
          <w:sz w:val="22"/>
          <w:szCs w:val="22"/>
        </w:rPr>
      </w:pPr>
    </w:p>
    <w:p w14:paraId="4789506E"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is within a threshold (hysteresis) for certain period of time (Time to Trigger)</w:t>
      </w:r>
    </w:p>
    <w:p w14:paraId="79DF54DD"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exceeds a threshold (hysteresis) for certain period of time (Time to Trigger)</w:t>
      </w:r>
    </w:p>
    <w:p w14:paraId="63BD6284" w14:textId="07C79860"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UE buffer is lower or higher than a threshold for certain period of time</w:t>
      </w:r>
    </w:p>
    <w:p w14:paraId="48EB9F8E" w14:textId="77777777" w:rsidR="00DF62E3" w:rsidRPr="002108DF" w:rsidRDefault="00DF62E3" w:rsidP="0026379A">
      <w:pPr>
        <w:rPr>
          <w:sz w:val="22"/>
          <w:szCs w:val="22"/>
        </w:rPr>
      </w:pPr>
    </w:p>
    <w:p w14:paraId="08EEA320" w14:textId="774C450F" w:rsidR="00F931A2" w:rsidRPr="00DE367F" w:rsidRDefault="00DF62E3" w:rsidP="00C66E63">
      <w:pPr>
        <w:rPr>
          <w:rFonts w:eastAsia="SimSun"/>
          <w:b/>
          <w:i/>
          <w:sz w:val="22"/>
          <w:szCs w:val="22"/>
        </w:rPr>
      </w:pPr>
      <w:r w:rsidRPr="002108DF">
        <w:rPr>
          <w:rFonts w:eastAsia="SimSun"/>
          <w:b/>
          <w:bCs/>
          <w:i/>
          <w:sz w:val="22"/>
          <w:szCs w:val="22"/>
          <w:u w:val="single"/>
        </w:rPr>
        <w:t xml:space="preserve">Proposal </w:t>
      </w:r>
      <w:r w:rsidR="00C42720" w:rsidRPr="002108DF">
        <w:rPr>
          <w:rFonts w:eastAsia="SimSun"/>
          <w:b/>
          <w:bCs/>
          <w:i/>
          <w:sz w:val="22"/>
          <w:szCs w:val="22"/>
          <w:u w:val="single"/>
        </w:rPr>
        <w:t>1</w:t>
      </w:r>
      <w:r w:rsidR="002108DF">
        <w:rPr>
          <w:rFonts w:eastAsia="SimSun"/>
          <w:b/>
          <w:bCs/>
          <w:i/>
          <w:sz w:val="22"/>
          <w:szCs w:val="22"/>
          <w:u w:val="single"/>
        </w:rPr>
        <w:t>0</w:t>
      </w:r>
      <w:r w:rsidRPr="002108DF">
        <w:rPr>
          <w:rFonts w:eastAsia="SimSun"/>
          <w:bCs/>
          <w:i/>
          <w:sz w:val="22"/>
          <w:szCs w:val="22"/>
        </w:rPr>
        <w:t xml:space="preserve">: </w:t>
      </w:r>
      <w:r w:rsidR="002108DF" w:rsidRPr="002108DF">
        <w:rPr>
          <w:rFonts w:eastAsia="SimSun"/>
          <w:b/>
          <w:i/>
          <w:sz w:val="22"/>
          <w:szCs w:val="22"/>
        </w:rPr>
        <w:t xml:space="preserve">NR to consider to introduce measurement report to support adaptive NCJT operation </w:t>
      </w:r>
    </w:p>
    <w:p w14:paraId="2896E657" w14:textId="2DF29AD0" w:rsidR="00854A60" w:rsidRPr="00FB330B" w:rsidRDefault="009C5A97" w:rsidP="00FB330B">
      <w:pPr>
        <w:pStyle w:val="Heading1"/>
      </w:pPr>
      <w:r w:rsidRPr="00FB330B">
        <w:lastRenderedPageBreak/>
        <w:t>Conclusion</w:t>
      </w:r>
    </w:p>
    <w:p w14:paraId="11656993" w14:textId="77777777" w:rsidR="00E073BB"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E073BB">
        <w:rPr>
          <w:rFonts w:eastAsia="MS Mincho"/>
          <w:sz w:val="22"/>
          <w:szCs w:val="22"/>
          <w:lang w:eastAsia="ja-JP"/>
        </w:rPr>
        <w:t>control channel design for NCJT including the following areas</w:t>
      </w:r>
    </w:p>
    <w:p w14:paraId="7D5E62F7" w14:textId="77777777" w:rsidR="00E073BB" w:rsidRDefault="00E073BB" w:rsidP="00F43354">
      <w:pPr>
        <w:jc w:val="both"/>
        <w:rPr>
          <w:rFonts w:eastAsia="MS Mincho"/>
          <w:sz w:val="22"/>
          <w:szCs w:val="22"/>
          <w:lang w:eastAsia="ja-JP"/>
        </w:rPr>
      </w:pPr>
    </w:p>
    <w:p w14:paraId="410AD2BD" w14:textId="77777777" w:rsidR="00E637E4" w:rsidRDefault="00E637E4" w:rsidP="00C81D93">
      <w:pPr>
        <w:pStyle w:val="ListParagraph"/>
        <w:numPr>
          <w:ilvl w:val="0"/>
          <w:numId w:val="19"/>
        </w:numPr>
        <w:rPr>
          <w:rFonts w:ascii="Times New Roman" w:hAnsi="Times New Roman"/>
        </w:rPr>
      </w:pPr>
      <w:r>
        <w:rPr>
          <w:rFonts w:ascii="Times New Roman" w:hAnsi="Times New Roman"/>
        </w:rPr>
        <w:t>DL DCI PDCCH design for NCJT</w:t>
      </w:r>
    </w:p>
    <w:p w14:paraId="57438077" w14:textId="77777777" w:rsidR="00E637E4" w:rsidRDefault="00E637E4" w:rsidP="00C81D93">
      <w:pPr>
        <w:pStyle w:val="ListParagraph"/>
        <w:numPr>
          <w:ilvl w:val="0"/>
          <w:numId w:val="19"/>
        </w:numPr>
        <w:rPr>
          <w:rFonts w:ascii="Times New Roman" w:hAnsi="Times New Roman"/>
        </w:rPr>
      </w:pPr>
      <w:r>
        <w:rPr>
          <w:rFonts w:ascii="Times New Roman" w:hAnsi="Times New Roman"/>
        </w:rPr>
        <w:t>UL</w:t>
      </w:r>
      <w:r w:rsidRPr="00E202D9">
        <w:rPr>
          <w:rFonts w:ascii="Times New Roman" w:hAnsi="Times New Roman"/>
        </w:rPr>
        <w:t xml:space="preserve"> </w:t>
      </w:r>
      <w:r>
        <w:rPr>
          <w:rFonts w:ascii="Times New Roman" w:hAnsi="Times New Roman"/>
        </w:rPr>
        <w:t>DCI PDCCH design for NCJT</w:t>
      </w:r>
    </w:p>
    <w:p w14:paraId="53A42CF8" w14:textId="77777777" w:rsidR="00E637E4" w:rsidRPr="003B1EB1" w:rsidRDefault="00E637E4" w:rsidP="00C81D93">
      <w:pPr>
        <w:pStyle w:val="ListParagraph"/>
        <w:numPr>
          <w:ilvl w:val="0"/>
          <w:numId w:val="19"/>
        </w:numPr>
        <w:rPr>
          <w:rFonts w:ascii="Times New Roman" w:hAnsi="Times New Roman"/>
        </w:rPr>
      </w:pPr>
      <w:r>
        <w:rPr>
          <w:rFonts w:ascii="Times New Roman" w:hAnsi="Times New Roman"/>
        </w:rPr>
        <w:t>Management of NCJT operation</w:t>
      </w:r>
    </w:p>
    <w:p w14:paraId="31745016" w14:textId="77777777" w:rsidR="00E32950" w:rsidRDefault="00E32950"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829964F" w14:textId="77777777" w:rsidR="00AF21A2" w:rsidRDefault="00AF21A2" w:rsidP="00AF21A2">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To support NR DL NCJT, DCI content can be further optimized or compressed by exploiting the common scheduling content for two PDSCHs</w:t>
      </w:r>
    </w:p>
    <w:p w14:paraId="59279CA8" w14:textId="77777777" w:rsidR="00AF21A2" w:rsidRDefault="00AF21A2" w:rsidP="00AF21A2">
      <w:pPr>
        <w:rPr>
          <w:rFonts w:eastAsia="SimSun"/>
          <w:b/>
          <w:i/>
          <w:sz w:val="22"/>
          <w:szCs w:val="22"/>
        </w:rPr>
      </w:pPr>
    </w:p>
    <w:p w14:paraId="6E783A13" w14:textId="77777777" w:rsidR="00AF21A2" w:rsidRDefault="00AF21A2" w:rsidP="00AF21A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For single DCI design, considering reusing the existing DCI framework by allowing layers to TRP mapping or CW to TRP mapping</w:t>
      </w:r>
    </w:p>
    <w:p w14:paraId="5FB1BBA3" w14:textId="77777777" w:rsidR="00AF21A2" w:rsidRDefault="00AF21A2" w:rsidP="00AF21A2">
      <w:pPr>
        <w:rPr>
          <w:rFonts w:eastAsia="SimSun"/>
          <w:b/>
          <w:i/>
          <w:sz w:val="22"/>
          <w:szCs w:val="22"/>
        </w:rPr>
      </w:pPr>
    </w:p>
    <w:p w14:paraId="1558E1F7" w14:textId="5597DF07" w:rsidR="00AF21A2" w:rsidRDefault="00AF21A2" w:rsidP="00AF21A2">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 DCI design, considering to introduce assistance field in one DCI to aid the decoding of the other DCI, such as exist</w:t>
      </w:r>
      <w:r>
        <w:rPr>
          <w:rFonts w:eastAsia="SimSun"/>
          <w:b/>
          <w:i/>
          <w:sz w:val="22"/>
          <w:szCs w:val="22"/>
        </w:rPr>
        <w:t>ence</w:t>
      </w:r>
      <w:r w:rsidRPr="000726A4">
        <w:rPr>
          <w:rFonts w:eastAsia="SimSun"/>
          <w:b/>
          <w:i/>
          <w:sz w:val="22"/>
          <w:szCs w:val="22"/>
        </w:rPr>
        <w:t xml:space="preserve"> of the second DCI and resource allocation of the second DCI</w:t>
      </w:r>
    </w:p>
    <w:p w14:paraId="4078378D" w14:textId="77777777" w:rsidR="00AF21A2" w:rsidRPr="000726A4" w:rsidRDefault="00AF21A2" w:rsidP="00AF21A2">
      <w:pPr>
        <w:rPr>
          <w:rFonts w:eastAsia="SimSun"/>
          <w:b/>
          <w:i/>
          <w:sz w:val="22"/>
          <w:szCs w:val="22"/>
        </w:rPr>
      </w:pPr>
    </w:p>
    <w:p w14:paraId="0DE18C56" w14:textId="3571F7A9"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 DCI design, considering to introduce </w:t>
      </w:r>
      <w:r>
        <w:rPr>
          <w:rFonts w:eastAsia="SimSun"/>
          <w:b/>
          <w:i/>
          <w:sz w:val="22"/>
          <w:szCs w:val="22"/>
        </w:rPr>
        <w:t>fixed time/frequency relationship between two DCIs, and/or independent CORESET configuration, to reduce UE complexity</w:t>
      </w:r>
    </w:p>
    <w:p w14:paraId="5EF8062B" w14:textId="77777777" w:rsidR="00AF21A2" w:rsidRDefault="00AF21A2" w:rsidP="00AF21A2">
      <w:pPr>
        <w:rPr>
          <w:rFonts w:eastAsia="SimSun"/>
          <w:b/>
          <w:i/>
          <w:sz w:val="22"/>
          <w:szCs w:val="22"/>
        </w:rPr>
      </w:pPr>
    </w:p>
    <w:p w14:paraId="20D17D4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6C1199AD" w14:textId="77777777" w:rsidR="00AF21A2" w:rsidRPr="00B64157" w:rsidRDefault="00AF21A2" w:rsidP="00AF21A2">
      <w:pPr>
        <w:rPr>
          <w:rFonts w:eastAsia="SimSun"/>
          <w:b/>
          <w:i/>
          <w:sz w:val="22"/>
          <w:szCs w:val="22"/>
        </w:rPr>
      </w:pPr>
    </w:p>
    <w:p w14:paraId="1FC01C48"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7A417DED" w14:textId="77777777" w:rsidR="00AF21A2" w:rsidRDefault="00AF21A2" w:rsidP="00AF21A2">
      <w:pPr>
        <w:rPr>
          <w:rFonts w:eastAsia="SimSun"/>
          <w:b/>
          <w:i/>
          <w:sz w:val="22"/>
          <w:szCs w:val="22"/>
        </w:rPr>
      </w:pPr>
    </w:p>
    <w:p w14:paraId="2809C9EE"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3D88E582" w14:textId="77777777" w:rsidR="00AF21A2" w:rsidRDefault="00AF21A2" w:rsidP="00AF21A2">
      <w:pPr>
        <w:rPr>
          <w:rFonts w:eastAsia="SimSun"/>
          <w:b/>
          <w:i/>
          <w:sz w:val="22"/>
          <w:szCs w:val="22"/>
        </w:rPr>
      </w:pPr>
    </w:p>
    <w:p w14:paraId="1A9465C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47D9822B" w14:textId="77777777" w:rsidR="00AF21A2" w:rsidRDefault="00AF21A2" w:rsidP="00AF21A2">
      <w:pPr>
        <w:rPr>
          <w:rFonts w:eastAsia="SimSun"/>
          <w:b/>
          <w:i/>
          <w:sz w:val="22"/>
          <w:szCs w:val="22"/>
        </w:rPr>
      </w:pPr>
    </w:p>
    <w:p w14:paraId="4A119DF2" w14:textId="77777777" w:rsidR="00AF21A2" w:rsidRDefault="00AF21A2" w:rsidP="00AF21A2">
      <w:pPr>
        <w:rPr>
          <w:rFonts w:eastAsia="SimSun"/>
          <w:b/>
          <w:i/>
          <w:sz w:val="22"/>
          <w:szCs w:val="22"/>
        </w:rPr>
      </w:pPr>
      <w:r w:rsidRPr="002108DF">
        <w:rPr>
          <w:rFonts w:eastAsia="SimSun"/>
          <w:b/>
          <w:bCs/>
          <w:i/>
          <w:sz w:val="22"/>
          <w:szCs w:val="22"/>
          <w:u w:val="single"/>
        </w:rPr>
        <w:t>Proposal 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Pr>
          <w:rFonts w:eastAsia="SimSun"/>
          <w:b/>
          <w:i/>
          <w:sz w:val="22"/>
          <w:szCs w:val="22"/>
        </w:rPr>
        <w:t xml:space="preserve">, preferably </w:t>
      </w:r>
      <w:r w:rsidRPr="002108DF">
        <w:rPr>
          <w:rFonts w:eastAsia="SimSun"/>
          <w:b/>
          <w:i/>
          <w:sz w:val="22"/>
          <w:szCs w:val="22"/>
        </w:rPr>
        <w:t>independently for each BWP</w:t>
      </w:r>
    </w:p>
    <w:p w14:paraId="7E639292" w14:textId="77777777" w:rsidR="00AF21A2" w:rsidRPr="002108DF" w:rsidRDefault="00AF21A2" w:rsidP="00AF21A2">
      <w:pPr>
        <w:rPr>
          <w:rFonts w:eastAsia="SimSun"/>
          <w:b/>
          <w:i/>
          <w:sz w:val="22"/>
          <w:szCs w:val="22"/>
        </w:rPr>
      </w:pPr>
    </w:p>
    <w:p w14:paraId="20E52329" w14:textId="547B8FFD" w:rsidR="00AF21A2" w:rsidRDefault="00AF21A2" w:rsidP="00AF21A2">
      <w:pPr>
        <w:rPr>
          <w:rFonts w:eastAsia="SimSun"/>
          <w:b/>
          <w:i/>
          <w:sz w:val="22"/>
          <w:szCs w:val="22"/>
        </w:rPr>
      </w:pPr>
      <w:r w:rsidRPr="002108DF">
        <w:rPr>
          <w:rFonts w:eastAsia="SimSun"/>
          <w:b/>
          <w:bCs/>
          <w:i/>
          <w:sz w:val="22"/>
          <w:szCs w:val="22"/>
          <w:u w:val="single"/>
        </w:rPr>
        <w:t>Proposal 1</w:t>
      </w:r>
      <w:r>
        <w:rPr>
          <w:rFonts w:eastAsia="SimSun"/>
          <w:b/>
          <w:bCs/>
          <w:i/>
          <w:sz w:val="22"/>
          <w:szCs w:val="22"/>
          <w:u w:val="single"/>
        </w:rPr>
        <w:t>0</w:t>
      </w:r>
      <w:r w:rsidRPr="002108DF">
        <w:rPr>
          <w:rFonts w:eastAsia="SimSun"/>
          <w:bCs/>
          <w:i/>
          <w:sz w:val="22"/>
          <w:szCs w:val="22"/>
        </w:rPr>
        <w:t xml:space="preserve">: </w:t>
      </w:r>
      <w:r w:rsidRPr="002108DF">
        <w:rPr>
          <w:rFonts w:eastAsia="SimSun"/>
          <w:b/>
          <w:i/>
          <w:sz w:val="22"/>
          <w:szCs w:val="22"/>
        </w:rPr>
        <w:t>NR to consider to introduce measurement report to support adaptive NCJT operation</w:t>
      </w:r>
    </w:p>
    <w:p w14:paraId="5D647894" w14:textId="77777777" w:rsidR="002C3C89" w:rsidRDefault="002C3C89" w:rsidP="007B447B">
      <w:pPr>
        <w:rPr>
          <w:rFonts w:eastAsia="SimSun"/>
          <w:b/>
          <w:bCs/>
          <w:i/>
          <w:sz w:val="22"/>
          <w:szCs w:val="22"/>
          <w:u w:val="single"/>
        </w:rPr>
      </w:pP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6F6ACF2" w14:textId="554DE827" w:rsidR="0055259E" w:rsidRPr="001C4703" w:rsidRDefault="0055259E" w:rsidP="005525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Pr>
          <w:sz w:val="20"/>
        </w:rPr>
        <w:t>Spokane, USA, 12</w:t>
      </w:r>
      <w:r>
        <w:rPr>
          <w:sz w:val="20"/>
          <w:vertAlign w:val="superscript"/>
        </w:rPr>
        <w:t>th</w:t>
      </w:r>
      <w:r>
        <w:rPr>
          <w:sz w:val="20"/>
        </w:rPr>
        <w:t xml:space="preserve"> – 16</w:t>
      </w:r>
      <w:r>
        <w:rPr>
          <w:sz w:val="20"/>
          <w:vertAlign w:val="superscript"/>
        </w:rPr>
        <w:t>h</w:t>
      </w:r>
      <w:r>
        <w:rPr>
          <w:sz w:val="20"/>
        </w:rPr>
        <w:t xml:space="preserve"> November 2018</w:t>
      </w:r>
    </w:p>
    <w:p w14:paraId="28D011D6" w14:textId="096687AB" w:rsidR="001C4703" w:rsidRPr="00421D5E" w:rsidRDefault="001C4703" w:rsidP="00421D5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54F6E2C0" w14:textId="7DADC1A7" w:rsidR="00825B95" w:rsidRPr="00FB0FBE" w:rsidRDefault="00825B95" w:rsidP="005B08CD">
      <w:pPr>
        <w:overflowPunct w:val="0"/>
        <w:autoSpaceDE w:val="0"/>
        <w:autoSpaceDN w:val="0"/>
        <w:adjustRightInd w:val="0"/>
        <w:spacing w:before="100" w:beforeAutospacing="1" w:after="100" w:afterAutospacing="1"/>
        <w:ind w:left="562"/>
        <w:textAlignment w:val="baseline"/>
        <w:rPr>
          <w:sz w:val="22"/>
          <w:szCs w:val="22"/>
        </w:rPr>
      </w:pPr>
    </w:p>
    <w:sectPr w:rsidR="00825B95" w:rsidRPr="00FB0FBE"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68EF3" w14:textId="77777777" w:rsidR="007F702E" w:rsidRDefault="007F702E">
      <w:r>
        <w:separator/>
      </w:r>
    </w:p>
  </w:endnote>
  <w:endnote w:type="continuationSeparator" w:id="0">
    <w:p w14:paraId="32B1D88F" w14:textId="77777777" w:rsidR="007F702E" w:rsidRDefault="007F702E">
      <w:r>
        <w:continuationSeparator/>
      </w:r>
    </w:p>
  </w:endnote>
  <w:endnote w:type="continuationNotice" w:id="1">
    <w:p w14:paraId="4AF3ABB7" w14:textId="77777777" w:rsidR="007F702E" w:rsidRDefault="007F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11B9" w14:textId="77777777" w:rsidR="007F702E" w:rsidRDefault="007F702E">
      <w:r>
        <w:separator/>
      </w:r>
    </w:p>
  </w:footnote>
  <w:footnote w:type="continuationSeparator" w:id="0">
    <w:p w14:paraId="14CA2521" w14:textId="77777777" w:rsidR="007F702E" w:rsidRDefault="007F702E">
      <w:r>
        <w:continuationSeparator/>
      </w:r>
    </w:p>
  </w:footnote>
  <w:footnote w:type="continuationNotice" w:id="1">
    <w:p w14:paraId="3E35350D" w14:textId="77777777" w:rsidR="007F702E" w:rsidRDefault="007F70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8"/>
  </w:num>
  <w:num w:numId="4">
    <w:abstractNumId w:val="9"/>
  </w:num>
  <w:num w:numId="5">
    <w:abstractNumId w:val="5"/>
  </w:num>
  <w:num w:numId="6">
    <w:abstractNumId w:val="11"/>
  </w:num>
  <w:num w:numId="7">
    <w:abstractNumId w:val="16"/>
  </w:num>
  <w:num w:numId="8">
    <w:abstractNumId w:val="6"/>
  </w:num>
  <w:num w:numId="9">
    <w:abstractNumId w:val="14"/>
  </w:num>
  <w:num w:numId="10">
    <w:abstractNumId w:val="0"/>
  </w:num>
  <w:num w:numId="11">
    <w:abstractNumId w:val="10"/>
  </w:num>
  <w:num w:numId="12">
    <w:abstractNumId w:val="4"/>
  </w:num>
  <w:num w:numId="13">
    <w:abstractNumId w:val="19"/>
  </w:num>
  <w:num w:numId="14">
    <w:abstractNumId w:val="22"/>
  </w:num>
  <w:num w:numId="15">
    <w:abstractNumId w:val="15"/>
  </w:num>
  <w:num w:numId="16">
    <w:abstractNumId w:val="13"/>
  </w:num>
  <w:num w:numId="17">
    <w:abstractNumId w:val="2"/>
  </w:num>
  <w:num w:numId="18">
    <w:abstractNumId w:val="17"/>
  </w:num>
  <w:num w:numId="19">
    <w:abstractNumId w:val="3"/>
  </w:num>
  <w:num w:numId="20">
    <w:abstractNumId w:val="21"/>
  </w:num>
  <w:num w:numId="21">
    <w:abstractNumId w:val="20"/>
  </w:num>
  <w:num w:numId="22">
    <w:abstractNumId w:val="7"/>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6AD"/>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4E3"/>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9B"/>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17B"/>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703"/>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2B"/>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70E"/>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77F"/>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BF6"/>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DD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F7F"/>
    <w:rsid w:val="004142B5"/>
    <w:rsid w:val="00415415"/>
    <w:rsid w:val="0041547C"/>
    <w:rsid w:val="0041576E"/>
    <w:rsid w:val="00415856"/>
    <w:rsid w:val="00415AE2"/>
    <w:rsid w:val="00415CFE"/>
    <w:rsid w:val="00416EC8"/>
    <w:rsid w:val="00417E76"/>
    <w:rsid w:val="004207EE"/>
    <w:rsid w:val="00421105"/>
    <w:rsid w:val="00421595"/>
    <w:rsid w:val="00421D5E"/>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59E"/>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08C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CE5"/>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02E"/>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5A"/>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04A"/>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13"/>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D7FB7"/>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3713"/>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4EE"/>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7F"/>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0ED0"/>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C7B77"/>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260AF-6C24-AC4F-9B96-61E7F19A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832</TotalTime>
  <Pages>6</Pages>
  <Words>2072</Words>
  <Characters>11816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1004</cp:revision>
  <cp:lastPrinted>2008-01-31T16:09:00Z</cp:lastPrinted>
  <dcterms:created xsi:type="dcterms:W3CDTF">2017-09-28T15:58:00Z</dcterms:created>
  <dcterms:modified xsi:type="dcterms:W3CDTF">2019-02-15T17:38:00Z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